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254E2" w:rsidRDefault="00000000">
      <w:pPr>
        <w:pBdr>
          <w:top w:val="nil"/>
          <w:left w:val="nil"/>
          <w:bottom w:val="nil"/>
          <w:right w:val="nil"/>
          <w:between w:val="nil"/>
        </w:pBdr>
        <w:tabs>
          <w:tab w:val="center" w:pos="4252"/>
          <w:tab w:val="right" w:pos="8504"/>
        </w:tabs>
        <w:spacing w:line="360" w:lineRule="auto"/>
        <w:jc w:val="both"/>
        <w:rPr>
          <w:rFonts w:ascii="Calibri" w:eastAsia="Calibri" w:hAnsi="Calibri" w:cs="Calibri"/>
          <w:b/>
          <w:color w:val="000000"/>
        </w:rPr>
      </w:pPr>
      <w:r>
        <w:rPr>
          <w:rFonts w:ascii="Calibri" w:eastAsia="Calibri" w:hAnsi="Calibri" w:cs="Calibri"/>
          <w:b/>
          <w:color w:val="000000"/>
        </w:rPr>
        <w:t>ÍNDICE</w:t>
      </w:r>
    </w:p>
    <w:p w:rsidR="00F254E2" w:rsidRDefault="00F254E2">
      <w:pPr>
        <w:jc w:val="both"/>
        <w:rPr>
          <w:rFonts w:ascii="Calibri" w:eastAsia="Calibri" w:hAnsi="Calibri" w:cs="Calibri"/>
        </w:rPr>
      </w:pPr>
    </w:p>
    <w:p w:rsidR="00F254E2"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1. OBJETO</w:t>
      </w:r>
    </w:p>
    <w:p w:rsidR="00F254E2"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2. ALCANCE</w:t>
      </w:r>
    </w:p>
    <w:p w:rsidR="00F254E2" w:rsidRDefault="00000000">
      <w:pPr>
        <w:jc w:val="both"/>
        <w:rPr>
          <w:rFonts w:ascii="Calibri" w:eastAsia="Calibri" w:hAnsi="Calibri" w:cs="Calibri"/>
          <w:b/>
        </w:rPr>
      </w:pPr>
      <w:r>
        <w:rPr>
          <w:rFonts w:ascii="Calibri" w:eastAsia="Calibri" w:hAnsi="Calibri" w:cs="Calibri"/>
          <w:b/>
        </w:rPr>
        <w:t>3. RESPONSABILIDADES</w:t>
      </w:r>
    </w:p>
    <w:p w:rsidR="00F254E2" w:rsidRDefault="00000000">
      <w:pPr>
        <w:jc w:val="both"/>
        <w:rPr>
          <w:rFonts w:ascii="Calibri" w:eastAsia="Calibri" w:hAnsi="Calibri" w:cs="Calibri"/>
          <w:b/>
        </w:rPr>
      </w:pPr>
      <w:r>
        <w:rPr>
          <w:rFonts w:ascii="Calibri" w:eastAsia="Calibri" w:hAnsi="Calibri" w:cs="Calibri"/>
          <w:b/>
        </w:rPr>
        <w:t>4. DESARROLLO</w:t>
      </w:r>
    </w:p>
    <w:p w:rsidR="00F254E2" w:rsidRDefault="00000000">
      <w:pPr>
        <w:ind w:left="284"/>
        <w:jc w:val="both"/>
        <w:rPr>
          <w:rFonts w:ascii="Calibri" w:eastAsia="Calibri" w:hAnsi="Calibri" w:cs="Calibri"/>
          <w:b/>
        </w:rPr>
      </w:pPr>
      <w:r>
        <w:rPr>
          <w:rFonts w:ascii="Calibri" w:eastAsia="Calibri" w:hAnsi="Calibri" w:cs="Calibri"/>
          <w:b/>
        </w:rPr>
        <w:t>4.1. Gestión de recursos para el aprendizaje y apoyo al estudiantado.</w:t>
      </w:r>
    </w:p>
    <w:p w:rsidR="00F254E2" w:rsidRDefault="00000000">
      <w:pPr>
        <w:ind w:left="284"/>
        <w:jc w:val="both"/>
        <w:rPr>
          <w:rFonts w:ascii="Calibri" w:eastAsia="Calibri" w:hAnsi="Calibri" w:cs="Calibri"/>
          <w:b/>
        </w:rPr>
      </w:pPr>
      <w:r>
        <w:rPr>
          <w:rFonts w:ascii="Calibri" w:eastAsia="Calibri" w:hAnsi="Calibri" w:cs="Calibri"/>
          <w:b/>
        </w:rPr>
        <w:t>4.2. Gestión del personal de apoyo a la docencia.</w:t>
      </w:r>
    </w:p>
    <w:p w:rsidR="00F254E2" w:rsidRDefault="00000000">
      <w:pPr>
        <w:jc w:val="both"/>
        <w:rPr>
          <w:rFonts w:ascii="Calibri" w:eastAsia="Calibri" w:hAnsi="Calibri" w:cs="Calibri"/>
          <w:b/>
        </w:rPr>
      </w:pPr>
      <w:r>
        <w:rPr>
          <w:rFonts w:ascii="Calibri" w:eastAsia="Calibri" w:hAnsi="Calibri" w:cs="Calibri"/>
          <w:b/>
        </w:rPr>
        <w:t>5. INDICADORES</w:t>
      </w:r>
    </w:p>
    <w:p w:rsidR="00F254E2" w:rsidRDefault="00000000">
      <w:pPr>
        <w:jc w:val="both"/>
        <w:rPr>
          <w:rFonts w:ascii="Calibri" w:eastAsia="Calibri" w:hAnsi="Calibri" w:cs="Calibri"/>
          <w:b/>
        </w:rPr>
      </w:pPr>
      <w:r>
        <w:rPr>
          <w:rFonts w:ascii="Calibri" w:eastAsia="Calibri" w:hAnsi="Calibri" w:cs="Calibri"/>
          <w:b/>
        </w:rPr>
        <w:t>6. REGISTROS/EVIDENCIAS</w:t>
      </w:r>
    </w:p>
    <w:p w:rsidR="00F254E2" w:rsidRDefault="00F254E2">
      <w:pPr>
        <w:jc w:val="both"/>
        <w:rPr>
          <w:rFonts w:ascii="Calibri" w:eastAsia="Calibri" w:hAnsi="Calibri" w:cs="Calibri"/>
          <w:b/>
        </w:rPr>
      </w:pPr>
    </w:p>
    <w:p w:rsidR="00F254E2" w:rsidRDefault="00F254E2">
      <w:pPr>
        <w:jc w:val="both"/>
        <w:rPr>
          <w:rFonts w:ascii="Calibri" w:eastAsia="Calibri" w:hAnsi="Calibri" w:cs="Calibri"/>
          <w:b/>
        </w:rPr>
      </w:pPr>
    </w:p>
    <w:p w:rsidR="00F254E2" w:rsidRDefault="00F254E2">
      <w:pPr>
        <w:spacing w:line="360" w:lineRule="auto"/>
        <w:jc w:val="both"/>
        <w:rPr>
          <w:rFonts w:ascii="Calibri" w:eastAsia="Calibri" w:hAnsi="Calibri" w:cs="Calibri"/>
          <w:sz w:val="16"/>
          <w:szCs w:val="16"/>
        </w:rPr>
      </w:pPr>
    </w:p>
    <w:p w:rsidR="00F254E2" w:rsidRDefault="00F254E2">
      <w:pPr>
        <w:spacing w:line="360" w:lineRule="auto"/>
        <w:jc w:val="both"/>
        <w:rPr>
          <w:rFonts w:ascii="Calibri" w:eastAsia="Calibri" w:hAnsi="Calibri" w:cs="Calibri"/>
          <w:sz w:val="16"/>
          <w:szCs w:val="16"/>
        </w:rPr>
      </w:pPr>
    </w:p>
    <w:p w:rsidR="00F254E2" w:rsidRDefault="00F254E2">
      <w:pPr>
        <w:spacing w:line="360" w:lineRule="auto"/>
        <w:jc w:val="both"/>
        <w:rPr>
          <w:rFonts w:ascii="Calibri" w:eastAsia="Calibri" w:hAnsi="Calibri" w:cs="Calibri"/>
          <w:sz w:val="16"/>
          <w:szCs w:val="16"/>
        </w:rPr>
      </w:pPr>
    </w:p>
    <w:p w:rsidR="00F254E2" w:rsidRDefault="00F254E2">
      <w:pPr>
        <w:spacing w:line="360" w:lineRule="auto"/>
        <w:jc w:val="both"/>
        <w:rPr>
          <w:rFonts w:ascii="Calibri" w:eastAsia="Calibri" w:hAnsi="Calibri" w:cs="Calibri"/>
          <w:sz w:val="16"/>
          <w:szCs w:val="16"/>
        </w:rPr>
      </w:pPr>
    </w:p>
    <w:tbl>
      <w:tblPr>
        <w:tblStyle w:val="a5"/>
        <w:tblW w:w="92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30"/>
        <w:gridCol w:w="1668"/>
        <w:gridCol w:w="6270"/>
      </w:tblGrid>
      <w:tr w:rsidR="00F254E2">
        <w:trPr>
          <w:trHeight w:val="272"/>
        </w:trPr>
        <w:tc>
          <w:tcPr>
            <w:tcW w:w="1330" w:type="dxa"/>
            <w:shd w:val="clear" w:color="auto" w:fill="E6E6E6"/>
          </w:tcPr>
          <w:p w:rsidR="00F254E2"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Edición</w:t>
            </w:r>
          </w:p>
        </w:tc>
        <w:tc>
          <w:tcPr>
            <w:tcW w:w="1668" w:type="dxa"/>
            <w:shd w:val="clear" w:color="auto" w:fill="E6E6E6"/>
          </w:tcPr>
          <w:p w:rsidR="00F254E2"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Fecha</w:t>
            </w:r>
          </w:p>
        </w:tc>
        <w:tc>
          <w:tcPr>
            <w:tcW w:w="6270" w:type="dxa"/>
            <w:shd w:val="clear" w:color="auto" w:fill="E6E6E6"/>
          </w:tcPr>
          <w:p w:rsidR="00F254E2"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Motivo de la modificación</w:t>
            </w:r>
          </w:p>
        </w:tc>
      </w:tr>
      <w:tr w:rsidR="00F254E2">
        <w:trPr>
          <w:trHeight w:val="287"/>
        </w:trPr>
        <w:tc>
          <w:tcPr>
            <w:tcW w:w="1330" w:type="dxa"/>
          </w:tcPr>
          <w:p w:rsidR="00F254E2"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01</w:t>
            </w:r>
          </w:p>
        </w:tc>
        <w:tc>
          <w:tcPr>
            <w:tcW w:w="1668" w:type="dxa"/>
          </w:tcPr>
          <w:p w:rsidR="00F254E2"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13/12/2021</w:t>
            </w:r>
          </w:p>
        </w:tc>
        <w:tc>
          <w:tcPr>
            <w:tcW w:w="6270" w:type="dxa"/>
          </w:tcPr>
          <w:p w:rsidR="00F254E2"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Nuevo procedimiento del SGC optimizado.</w:t>
            </w:r>
          </w:p>
        </w:tc>
      </w:tr>
      <w:tr w:rsidR="00F254E2">
        <w:trPr>
          <w:trHeight w:val="272"/>
        </w:trPr>
        <w:tc>
          <w:tcPr>
            <w:tcW w:w="1330" w:type="dxa"/>
          </w:tcPr>
          <w:p w:rsidR="00F254E2"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02</w:t>
            </w:r>
          </w:p>
        </w:tc>
        <w:tc>
          <w:tcPr>
            <w:tcW w:w="1668" w:type="dxa"/>
          </w:tcPr>
          <w:p w:rsidR="00F254E2"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05/07/2023</w:t>
            </w:r>
          </w:p>
        </w:tc>
        <w:tc>
          <w:tcPr>
            <w:tcW w:w="6270" w:type="dxa"/>
          </w:tcPr>
          <w:p w:rsidR="00F254E2"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Revisado y no modificado.</w:t>
            </w:r>
          </w:p>
        </w:tc>
      </w:tr>
      <w:tr w:rsidR="00F254E2">
        <w:trPr>
          <w:trHeight w:val="272"/>
        </w:trPr>
        <w:tc>
          <w:tcPr>
            <w:tcW w:w="1330" w:type="dxa"/>
          </w:tcPr>
          <w:p w:rsidR="00F254E2" w:rsidRPr="00207DF7" w:rsidRDefault="00207DF7">
            <w:pPr>
              <w:tabs>
                <w:tab w:val="left" w:pos="6015"/>
              </w:tabs>
              <w:ind w:right="309"/>
              <w:rPr>
                <w:rFonts w:ascii="Calibri" w:eastAsia="Calibri" w:hAnsi="Calibri" w:cs="Calibri"/>
                <w:color w:val="FF0000"/>
                <w:sz w:val="20"/>
                <w:szCs w:val="20"/>
              </w:rPr>
            </w:pPr>
            <w:r w:rsidRPr="00207DF7">
              <w:rPr>
                <w:rFonts w:ascii="Calibri" w:eastAsia="Calibri" w:hAnsi="Calibri" w:cs="Calibri"/>
                <w:color w:val="FF0000"/>
                <w:sz w:val="20"/>
                <w:szCs w:val="20"/>
              </w:rPr>
              <w:t>03</w:t>
            </w:r>
          </w:p>
        </w:tc>
        <w:tc>
          <w:tcPr>
            <w:tcW w:w="1668" w:type="dxa"/>
          </w:tcPr>
          <w:p w:rsidR="00F254E2" w:rsidRPr="00207DF7" w:rsidRDefault="00F254E2">
            <w:pPr>
              <w:tabs>
                <w:tab w:val="left" w:pos="6015"/>
              </w:tabs>
              <w:ind w:right="309"/>
              <w:rPr>
                <w:rFonts w:ascii="Calibri" w:eastAsia="Calibri" w:hAnsi="Calibri" w:cs="Calibri"/>
                <w:color w:val="FF0000"/>
                <w:sz w:val="20"/>
                <w:szCs w:val="20"/>
              </w:rPr>
            </w:pPr>
          </w:p>
        </w:tc>
        <w:tc>
          <w:tcPr>
            <w:tcW w:w="6270" w:type="dxa"/>
          </w:tcPr>
          <w:p w:rsidR="00F254E2" w:rsidRPr="00207DF7" w:rsidRDefault="00207DF7">
            <w:pPr>
              <w:tabs>
                <w:tab w:val="left" w:pos="6015"/>
              </w:tabs>
              <w:ind w:right="309"/>
              <w:rPr>
                <w:rFonts w:ascii="Calibri" w:eastAsia="Calibri" w:hAnsi="Calibri" w:cs="Calibri"/>
                <w:color w:val="FF0000"/>
                <w:sz w:val="20"/>
                <w:szCs w:val="20"/>
              </w:rPr>
            </w:pPr>
            <w:r w:rsidRPr="00207DF7">
              <w:rPr>
                <w:rFonts w:ascii="Calibri" w:eastAsia="Calibri" w:hAnsi="Calibri" w:cs="Calibri"/>
                <w:color w:val="FF0000"/>
                <w:sz w:val="20"/>
                <w:szCs w:val="20"/>
              </w:rPr>
              <w:t>Incorporación de los grupos de Interés (Ap.1 Objeto)</w:t>
            </w:r>
          </w:p>
        </w:tc>
      </w:tr>
      <w:tr w:rsidR="00F254E2">
        <w:trPr>
          <w:trHeight w:val="272"/>
        </w:trPr>
        <w:tc>
          <w:tcPr>
            <w:tcW w:w="1330" w:type="dxa"/>
          </w:tcPr>
          <w:p w:rsidR="00F254E2" w:rsidRDefault="00F254E2">
            <w:pPr>
              <w:tabs>
                <w:tab w:val="left" w:pos="6015"/>
              </w:tabs>
              <w:ind w:right="309"/>
              <w:rPr>
                <w:rFonts w:ascii="Calibri" w:eastAsia="Calibri" w:hAnsi="Calibri" w:cs="Calibri"/>
                <w:sz w:val="20"/>
                <w:szCs w:val="20"/>
              </w:rPr>
            </w:pPr>
          </w:p>
        </w:tc>
        <w:tc>
          <w:tcPr>
            <w:tcW w:w="1668" w:type="dxa"/>
          </w:tcPr>
          <w:p w:rsidR="00F254E2" w:rsidRDefault="00F254E2">
            <w:pPr>
              <w:tabs>
                <w:tab w:val="left" w:pos="6015"/>
              </w:tabs>
              <w:ind w:right="309"/>
              <w:rPr>
                <w:rFonts w:ascii="Calibri" w:eastAsia="Calibri" w:hAnsi="Calibri" w:cs="Calibri"/>
                <w:sz w:val="20"/>
                <w:szCs w:val="20"/>
              </w:rPr>
            </w:pPr>
          </w:p>
        </w:tc>
        <w:tc>
          <w:tcPr>
            <w:tcW w:w="6270" w:type="dxa"/>
          </w:tcPr>
          <w:p w:rsidR="00F254E2" w:rsidRDefault="00F254E2">
            <w:pPr>
              <w:tabs>
                <w:tab w:val="left" w:pos="6015"/>
              </w:tabs>
              <w:ind w:right="309"/>
              <w:rPr>
                <w:rFonts w:ascii="Calibri" w:eastAsia="Calibri" w:hAnsi="Calibri" w:cs="Calibri"/>
                <w:sz w:val="20"/>
                <w:szCs w:val="20"/>
              </w:rPr>
            </w:pPr>
          </w:p>
        </w:tc>
      </w:tr>
      <w:tr w:rsidR="00F254E2">
        <w:trPr>
          <w:trHeight w:val="272"/>
        </w:trPr>
        <w:tc>
          <w:tcPr>
            <w:tcW w:w="1330" w:type="dxa"/>
          </w:tcPr>
          <w:p w:rsidR="00F254E2" w:rsidRDefault="00F254E2">
            <w:pPr>
              <w:tabs>
                <w:tab w:val="left" w:pos="6015"/>
              </w:tabs>
              <w:ind w:right="309"/>
              <w:rPr>
                <w:rFonts w:ascii="Calibri" w:eastAsia="Calibri" w:hAnsi="Calibri" w:cs="Calibri"/>
                <w:sz w:val="20"/>
                <w:szCs w:val="20"/>
              </w:rPr>
            </w:pPr>
          </w:p>
        </w:tc>
        <w:tc>
          <w:tcPr>
            <w:tcW w:w="1668" w:type="dxa"/>
          </w:tcPr>
          <w:p w:rsidR="00F254E2" w:rsidRDefault="00F254E2">
            <w:pPr>
              <w:tabs>
                <w:tab w:val="left" w:pos="6015"/>
              </w:tabs>
              <w:ind w:right="309"/>
              <w:rPr>
                <w:rFonts w:ascii="Calibri" w:eastAsia="Calibri" w:hAnsi="Calibri" w:cs="Calibri"/>
                <w:sz w:val="20"/>
                <w:szCs w:val="20"/>
              </w:rPr>
            </w:pPr>
          </w:p>
        </w:tc>
        <w:tc>
          <w:tcPr>
            <w:tcW w:w="6270" w:type="dxa"/>
          </w:tcPr>
          <w:p w:rsidR="00F254E2" w:rsidRDefault="00F254E2">
            <w:pPr>
              <w:tabs>
                <w:tab w:val="left" w:pos="6015"/>
              </w:tabs>
              <w:ind w:right="309"/>
              <w:rPr>
                <w:rFonts w:ascii="Calibri" w:eastAsia="Calibri" w:hAnsi="Calibri" w:cs="Calibri"/>
                <w:sz w:val="20"/>
                <w:szCs w:val="20"/>
              </w:rPr>
            </w:pPr>
          </w:p>
        </w:tc>
      </w:tr>
    </w:tbl>
    <w:p w:rsidR="00F254E2" w:rsidRDefault="00F254E2">
      <w:pPr>
        <w:spacing w:line="360" w:lineRule="auto"/>
        <w:jc w:val="both"/>
        <w:rPr>
          <w:rFonts w:ascii="Calibri" w:eastAsia="Calibri" w:hAnsi="Calibri" w:cs="Calibri"/>
          <w:sz w:val="16"/>
          <w:szCs w:val="16"/>
        </w:rPr>
      </w:pPr>
    </w:p>
    <w:tbl>
      <w:tblPr>
        <w:tblStyle w:val="a6"/>
        <w:tblW w:w="9250" w:type="dxa"/>
        <w:tblInd w:w="0" w:type="dxa"/>
        <w:tblLayout w:type="fixed"/>
        <w:tblLook w:val="0000" w:firstRow="0" w:lastRow="0" w:firstColumn="0" w:lastColumn="0" w:noHBand="0" w:noVBand="0"/>
      </w:tblPr>
      <w:tblGrid>
        <w:gridCol w:w="4570"/>
        <w:gridCol w:w="4680"/>
      </w:tblGrid>
      <w:tr w:rsidR="00F254E2">
        <w:trPr>
          <w:trHeight w:val="2062"/>
        </w:trPr>
        <w:tc>
          <w:tcPr>
            <w:tcW w:w="4570" w:type="dxa"/>
            <w:tcBorders>
              <w:top w:val="single" w:sz="6" w:space="0" w:color="000000"/>
              <w:left w:val="single" w:sz="6" w:space="0" w:color="000000"/>
              <w:bottom w:val="single" w:sz="4" w:space="0" w:color="000000"/>
              <w:right w:val="nil"/>
            </w:tcBorders>
          </w:tcPr>
          <w:p w:rsidR="00F254E2" w:rsidRDefault="00000000">
            <w:pPr>
              <w:keepNext/>
              <w:pBdr>
                <w:top w:val="nil"/>
                <w:left w:val="nil"/>
                <w:bottom w:val="nil"/>
                <w:right w:val="nil"/>
                <w:between w:val="nil"/>
              </w:pBdr>
              <w:jc w:val="both"/>
              <w:rPr>
                <w:rFonts w:ascii="Calibri" w:eastAsia="Calibri" w:hAnsi="Calibri" w:cs="Calibri"/>
                <w:sz w:val="20"/>
                <w:szCs w:val="20"/>
                <w:u w:val="single"/>
              </w:rPr>
            </w:pPr>
            <w:r>
              <w:rPr>
                <w:rFonts w:ascii="Calibri" w:eastAsia="Calibri" w:hAnsi="Calibri" w:cs="Calibri"/>
                <w:sz w:val="20"/>
                <w:szCs w:val="20"/>
              </w:rPr>
              <w:t xml:space="preserve">Elaboración: Comisión de Garantía de Calidad </w:t>
            </w:r>
          </w:p>
          <w:p w:rsidR="00F254E2" w:rsidRDefault="00F254E2">
            <w:pPr>
              <w:pBdr>
                <w:top w:val="nil"/>
                <w:left w:val="nil"/>
                <w:bottom w:val="nil"/>
                <w:right w:val="nil"/>
                <w:between w:val="nil"/>
              </w:pBdr>
              <w:rPr>
                <w:rFonts w:ascii="Calibri" w:eastAsia="Calibri" w:hAnsi="Calibri" w:cs="Calibri"/>
                <w:sz w:val="20"/>
                <w:szCs w:val="20"/>
              </w:rPr>
            </w:pPr>
          </w:p>
          <w:p w:rsidR="00F254E2" w:rsidRDefault="00F254E2">
            <w:pPr>
              <w:rPr>
                <w:rFonts w:ascii="Calibri" w:eastAsia="Calibri" w:hAnsi="Calibri" w:cs="Calibri"/>
                <w:sz w:val="20"/>
                <w:szCs w:val="20"/>
              </w:rPr>
            </w:pPr>
          </w:p>
          <w:p w:rsidR="00F254E2" w:rsidRDefault="00F254E2">
            <w:pPr>
              <w:rPr>
                <w:rFonts w:ascii="Calibri" w:eastAsia="Calibri" w:hAnsi="Calibri" w:cs="Calibri"/>
                <w:sz w:val="20"/>
                <w:szCs w:val="20"/>
              </w:rPr>
            </w:pPr>
          </w:p>
          <w:p w:rsidR="00F254E2" w:rsidRDefault="00F254E2">
            <w:pPr>
              <w:rPr>
                <w:rFonts w:ascii="Calibri" w:eastAsia="Calibri" w:hAnsi="Calibri" w:cs="Calibri"/>
                <w:sz w:val="20"/>
                <w:szCs w:val="20"/>
              </w:rPr>
            </w:pPr>
          </w:p>
          <w:p w:rsidR="00F254E2" w:rsidRDefault="00F254E2">
            <w:pPr>
              <w:rPr>
                <w:rFonts w:ascii="Calibri" w:eastAsia="Calibri" w:hAnsi="Calibri" w:cs="Calibri"/>
                <w:sz w:val="16"/>
                <w:szCs w:val="16"/>
              </w:rPr>
            </w:pPr>
          </w:p>
          <w:p w:rsidR="00F254E2" w:rsidRDefault="00000000">
            <w:pPr>
              <w:rPr>
                <w:rFonts w:ascii="Calibri" w:eastAsia="Calibri" w:hAnsi="Calibri" w:cs="Calibri"/>
                <w:sz w:val="16"/>
                <w:szCs w:val="16"/>
              </w:rPr>
            </w:pPr>
            <w:r>
              <w:rPr>
                <w:rFonts w:ascii="Calibri" w:eastAsia="Calibri" w:hAnsi="Calibri" w:cs="Calibri"/>
                <w:sz w:val="16"/>
                <w:szCs w:val="16"/>
              </w:rPr>
              <w:t xml:space="preserve">Fdo. </w:t>
            </w:r>
            <w:r w:rsidR="00207DF7">
              <w:rPr>
                <w:rFonts w:ascii="Calibri" w:eastAsia="Calibri" w:hAnsi="Calibri" w:cs="Calibri"/>
                <w:sz w:val="16"/>
                <w:szCs w:val="16"/>
              </w:rPr>
              <w:t>Diego Franco Jaime</w:t>
            </w:r>
            <w:r>
              <w:rPr>
                <w:rFonts w:ascii="Calibri" w:eastAsia="Calibri" w:hAnsi="Calibri" w:cs="Calibri"/>
                <w:sz w:val="16"/>
                <w:szCs w:val="16"/>
              </w:rPr>
              <w:t>. Presidente de la Comisión de Garantía de Calidad.</w:t>
            </w:r>
          </w:p>
          <w:p w:rsidR="00F254E2" w:rsidRDefault="00000000">
            <w:pPr>
              <w:rPr>
                <w:rFonts w:ascii="Calibri" w:eastAsia="Calibri" w:hAnsi="Calibri" w:cs="Calibri"/>
                <w:sz w:val="20"/>
                <w:szCs w:val="20"/>
                <w:u w:val="single"/>
              </w:rPr>
            </w:pPr>
            <w:r>
              <w:rPr>
                <w:rFonts w:ascii="Calibri" w:eastAsia="Calibri" w:hAnsi="Calibri" w:cs="Calibri"/>
                <w:sz w:val="16"/>
                <w:szCs w:val="16"/>
              </w:rPr>
              <w:t xml:space="preserve">Fecha: </w:t>
            </w:r>
          </w:p>
        </w:tc>
        <w:tc>
          <w:tcPr>
            <w:tcW w:w="4680" w:type="dxa"/>
            <w:tcBorders>
              <w:top w:val="single" w:sz="4" w:space="0" w:color="000000"/>
              <w:left w:val="single" w:sz="4" w:space="0" w:color="000000"/>
              <w:bottom w:val="single" w:sz="4" w:space="0" w:color="000000"/>
              <w:right w:val="single" w:sz="4" w:space="0" w:color="000000"/>
            </w:tcBorders>
            <w:vAlign w:val="center"/>
          </w:tcPr>
          <w:p w:rsidR="00F254E2" w:rsidRDefault="00000000">
            <w:pPr>
              <w:keepNext/>
              <w:pBdr>
                <w:top w:val="nil"/>
                <w:left w:val="nil"/>
                <w:bottom w:val="nil"/>
                <w:right w:val="nil"/>
                <w:between w:val="nil"/>
              </w:pBdr>
              <w:jc w:val="both"/>
              <w:rPr>
                <w:rFonts w:ascii="Calibri" w:eastAsia="Calibri" w:hAnsi="Calibri" w:cs="Calibri"/>
                <w:sz w:val="20"/>
                <w:szCs w:val="20"/>
                <w:u w:val="single"/>
              </w:rPr>
            </w:pPr>
            <w:r>
              <w:rPr>
                <w:rFonts w:ascii="Calibri" w:eastAsia="Calibri" w:hAnsi="Calibri" w:cs="Calibri"/>
                <w:sz w:val="20"/>
                <w:szCs w:val="20"/>
              </w:rPr>
              <w:t>Revisión y aprobación: Junta de Facultad</w:t>
            </w:r>
          </w:p>
          <w:p w:rsidR="00F254E2" w:rsidRDefault="00F254E2">
            <w:pPr>
              <w:pBdr>
                <w:top w:val="nil"/>
                <w:left w:val="nil"/>
                <w:bottom w:val="nil"/>
                <w:right w:val="nil"/>
                <w:between w:val="nil"/>
              </w:pBdr>
              <w:rPr>
                <w:rFonts w:ascii="Calibri" w:eastAsia="Calibri" w:hAnsi="Calibri" w:cs="Calibri"/>
                <w:sz w:val="20"/>
                <w:szCs w:val="20"/>
              </w:rPr>
            </w:pPr>
          </w:p>
          <w:p w:rsidR="00F254E2" w:rsidRDefault="00F254E2">
            <w:pPr>
              <w:rPr>
                <w:rFonts w:ascii="Calibri" w:eastAsia="Calibri" w:hAnsi="Calibri" w:cs="Calibri"/>
                <w:sz w:val="20"/>
                <w:szCs w:val="20"/>
              </w:rPr>
            </w:pPr>
          </w:p>
          <w:p w:rsidR="00F254E2" w:rsidRDefault="00F254E2">
            <w:pPr>
              <w:rPr>
                <w:rFonts w:ascii="Calibri" w:eastAsia="Calibri" w:hAnsi="Calibri" w:cs="Calibri"/>
                <w:sz w:val="20"/>
                <w:szCs w:val="20"/>
              </w:rPr>
            </w:pPr>
          </w:p>
          <w:p w:rsidR="00F254E2" w:rsidRDefault="00F254E2">
            <w:pPr>
              <w:rPr>
                <w:rFonts w:ascii="Calibri" w:eastAsia="Calibri" w:hAnsi="Calibri" w:cs="Calibri"/>
                <w:sz w:val="20"/>
                <w:szCs w:val="20"/>
              </w:rPr>
            </w:pPr>
          </w:p>
          <w:p w:rsidR="00F254E2" w:rsidRDefault="00F254E2">
            <w:pPr>
              <w:pBdr>
                <w:top w:val="nil"/>
                <w:left w:val="nil"/>
                <w:bottom w:val="nil"/>
                <w:right w:val="nil"/>
                <w:between w:val="nil"/>
              </w:pBdr>
              <w:rPr>
                <w:rFonts w:ascii="Calibri" w:eastAsia="Calibri" w:hAnsi="Calibri" w:cs="Calibri"/>
                <w:sz w:val="16"/>
                <w:szCs w:val="16"/>
              </w:rPr>
            </w:pPr>
          </w:p>
          <w:p w:rsidR="00F254E2" w:rsidRDefault="00000000">
            <w:pPr>
              <w:pBdr>
                <w:top w:val="nil"/>
                <w:left w:val="nil"/>
                <w:bottom w:val="nil"/>
                <w:right w:val="nil"/>
                <w:between w:val="nil"/>
              </w:pBdr>
              <w:rPr>
                <w:rFonts w:ascii="Calibri" w:eastAsia="Calibri" w:hAnsi="Calibri" w:cs="Calibri"/>
                <w:sz w:val="16"/>
                <w:szCs w:val="16"/>
              </w:rPr>
            </w:pPr>
            <w:r>
              <w:rPr>
                <w:rFonts w:ascii="Calibri" w:eastAsia="Calibri" w:hAnsi="Calibri" w:cs="Calibri"/>
                <w:sz w:val="16"/>
                <w:szCs w:val="16"/>
              </w:rPr>
              <w:t xml:space="preserve">Fdo.: </w:t>
            </w:r>
            <w:r w:rsidR="00207DF7">
              <w:rPr>
                <w:rFonts w:ascii="Calibri" w:eastAsia="Calibri" w:hAnsi="Calibri" w:cs="Calibri"/>
                <w:sz w:val="16"/>
                <w:szCs w:val="16"/>
              </w:rPr>
              <w:t>Diego Franco Jaime</w:t>
            </w:r>
            <w:r>
              <w:rPr>
                <w:rFonts w:ascii="Calibri" w:eastAsia="Calibri" w:hAnsi="Calibri" w:cs="Calibri"/>
                <w:sz w:val="16"/>
                <w:szCs w:val="16"/>
              </w:rPr>
              <w:t>. Decano.</w:t>
            </w:r>
          </w:p>
          <w:p w:rsidR="00F254E2" w:rsidRDefault="00000000" w:rsidP="00207DF7">
            <w:pPr>
              <w:pBdr>
                <w:top w:val="nil"/>
                <w:left w:val="nil"/>
                <w:bottom w:val="nil"/>
                <w:right w:val="nil"/>
                <w:between w:val="nil"/>
              </w:pBdr>
              <w:rPr>
                <w:rFonts w:ascii="Calibri" w:eastAsia="Calibri" w:hAnsi="Calibri" w:cs="Calibri"/>
                <w:sz w:val="20"/>
                <w:szCs w:val="20"/>
              </w:rPr>
            </w:pPr>
            <w:r>
              <w:rPr>
                <w:rFonts w:ascii="Calibri" w:eastAsia="Calibri" w:hAnsi="Calibri" w:cs="Calibri"/>
                <w:sz w:val="16"/>
                <w:szCs w:val="16"/>
              </w:rPr>
              <w:t xml:space="preserve">Fecha: </w:t>
            </w:r>
          </w:p>
        </w:tc>
      </w:tr>
    </w:tbl>
    <w:p w:rsidR="00F254E2" w:rsidRDefault="00F254E2">
      <w:pPr>
        <w:spacing w:line="360" w:lineRule="auto"/>
        <w:jc w:val="both"/>
        <w:rPr>
          <w:rFonts w:ascii="Calibri" w:eastAsia="Calibri" w:hAnsi="Calibri" w:cs="Calibri"/>
          <w:b/>
        </w:rPr>
      </w:pPr>
    </w:p>
    <w:p w:rsidR="00F254E2" w:rsidRDefault="00F254E2">
      <w:pPr>
        <w:spacing w:line="360" w:lineRule="auto"/>
        <w:jc w:val="both"/>
        <w:rPr>
          <w:rFonts w:ascii="Calibri" w:eastAsia="Calibri" w:hAnsi="Calibri" w:cs="Calibri"/>
          <w:b/>
        </w:rPr>
      </w:pPr>
    </w:p>
    <w:p w:rsidR="00F254E2" w:rsidRDefault="00F254E2">
      <w:pPr>
        <w:spacing w:line="360" w:lineRule="auto"/>
        <w:jc w:val="both"/>
        <w:rPr>
          <w:rFonts w:ascii="Calibri" w:eastAsia="Calibri" w:hAnsi="Calibri" w:cs="Calibri"/>
          <w:b/>
        </w:rPr>
      </w:pPr>
    </w:p>
    <w:p w:rsidR="00F254E2" w:rsidRDefault="00F254E2">
      <w:pPr>
        <w:spacing w:line="360" w:lineRule="auto"/>
        <w:jc w:val="both"/>
        <w:rPr>
          <w:rFonts w:ascii="Calibri" w:eastAsia="Calibri" w:hAnsi="Calibri" w:cs="Calibri"/>
          <w:b/>
        </w:rPr>
      </w:pPr>
    </w:p>
    <w:p w:rsidR="00F254E2" w:rsidRDefault="00F254E2">
      <w:pPr>
        <w:spacing w:line="360" w:lineRule="auto"/>
        <w:jc w:val="both"/>
        <w:rPr>
          <w:rFonts w:ascii="Calibri" w:eastAsia="Calibri" w:hAnsi="Calibri" w:cs="Calibri"/>
          <w:b/>
        </w:rPr>
      </w:pPr>
    </w:p>
    <w:p w:rsidR="00F254E2" w:rsidRDefault="00F254E2">
      <w:pPr>
        <w:spacing w:line="360" w:lineRule="auto"/>
        <w:jc w:val="both"/>
        <w:rPr>
          <w:rFonts w:ascii="Calibri" w:eastAsia="Calibri" w:hAnsi="Calibri" w:cs="Calibri"/>
        </w:rPr>
      </w:pPr>
    </w:p>
    <w:p w:rsidR="00F254E2" w:rsidRDefault="00F254E2">
      <w:pPr>
        <w:spacing w:line="360" w:lineRule="auto"/>
        <w:jc w:val="both"/>
        <w:rPr>
          <w:rFonts w:ascii="Calibri" w:eastAsia="Calibri" w:hAnsi="Calibri" w:cs="Calibri"/>
          <w:sz w:val="22"/>
          <w:szCs w:val="22"/>
        </w:rPr>
      </w:pPr>
    </w:p>
    <w:p w:rsidR="00F254E2" w:rsidRDefault="00F254E2">
      <w:pPr>
        <w:spacing w:line="360" w:lineRule="auto"/>
        <w:jc w:val="both"/>
        <w:rPr>
          <w:rFonts w:ascii="Calibri" w:eastAsia="Calibri" w:hAnsi="Calibri" w:cs="Calibri"/>
          <w:b/>
          <w:sz w:val="22"/>
          <w:szCs w:val="22"/>
        </w:rPr>
      </w:pPr>
    </w:p>
    <w:p w:rsidR="00F254E2" w:rsidRDefault="00000000">
      <w:pPr>
        <w:jc w:val="both"/>
        <w:rPr>
          <w:rFonts w:ascii="Calibri" w:eastAsia="Calibri" w:hAnsi="Calibri" w:cs="Calibri"/>
        </w:rPr>
      </w:pPr>
      <w:r>
        <w:br w:type="page"/>
      </w:r>
    </w:p>
    <w:p w:rsidR="00F254E2" w:rsidRDefault="00F254E2">
      <w:pPr>
        <w:jc w:val="both"/>
        <w:rPr>
          <w:rFonts w:ascii="Calibri" w:eastAsia="Calibri" w:hAnsi="Calibri" w:cs="Calibri"/>
        </w:rPr>
      </w:pPr>
    </w:p>
    <w:p w:rsidR="00F254E2" w:rsidRDefault="00000000">
      <w:pPr>
        <w:jc w:val="both"/>
        <w:rPr>
          <w:rFonts w:ascii="Calibri" w:eastAsia="Calibri" w:hAnsi="Calibri" w:cs="Calibri"/>
          <w:b/>
        </w:rPr>
      </w:pPr>
      <w:r>
        <w:rPr>
          <w:rFonts w:ascii="Calibri" w:eastAsia="Calibri" w:hAnsi="Calibri" w:cs="Calibri"/>
          <w:b/>
        </w:rPr>
        <w:t>1. OBJETO Y ALCANCE</w:t>
      </w:r>
    </w:p>
    <w:p w:rsidR="00F254E2" w:rsidRDefault="00F254E2">
      <w:pPr>
        <w:jc w:val="both"/>
        <w:rPr>
          <w:rFonts w:ascii="Calibri" w:eastAsia="Calibri" w:hAnsi="Calibri" w:cs="Calibri"/>
        </w:rPr>
      </w:pPr>
    </w:p>
    <w:p w:rsidR="00F254E2"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 objeto del presente procedimiento es establecer el modo en el que la Facultad de Ciencias Experimentales (FCE) gestiona los recursos para el aprendizaje y apoyo al estudiantado (infraestructuras, recursos materiales y servicios) relacionados con los programas formativos que imparte, garantizando la oferta de actividades, recursos materiales y servicios suficientes que contribuyan al aprendizaje del estudiantado.</w:t>
      </w:r>
    </w:p>
    <w:p w:rsidR="00F254E2"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Este procedimiento incluye las actuaciones relacionadas con la gestión de recursos de apoyo para el aprendizaje y apoyo al estudiantado, así como la gestión del personal de apoyo a la docencia.</w:t>
      </w:r>
    </w:p>
    <w:p w:rsidR="00F254E2"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Si bien las actuaciones relacionadas con la gestión de recursos materiales y servicios están en su mayoría centralizadas en la Universidad de Jaén (señaladas entre corchetes), formando parte del Sistema Integrado de Gestión de la Calidad de los Servicios y Unidades Administrativas de la Universidad de Jaén (</w:t>
      </w:r>
      <w:hyperlink r:id="rId8">
        <w:r>
          <w:rPr>
            <w:rFonts w:ascii="Calibri" w:eastAsia="Calibri" w:hAnsi="Calibri" w:cs="Calibri"/>
            <w:color w:val="0000FF"/>
            <w:u w:val="single"/>
          </w:rPr>
          <w:t>SIGC-SUA</w:t>
        </w:r>
      </w:hyperlink>
      <w:r>
        <w:rPr>
          <w:rFonts w:ascii="Calibri" w:eastAsia="Calibri" w:hAnsi="Calibri" w:cs="Calibri"/>
          <w:color w:val="000000"/>
        </w:rPr>
        <w:t xml:space="preserve">), cuya responsabilidad recae principalmente en la Gerencia, en el Vicerrectorado con competencias en Calidad y en las distintos Servicios y Unidades responsables de la prestación de servicios, en este procedimiento el Centro solo desarrolla la parte en la que tiene competencias (señalada en </w:t>
      </w:r>
      <w:r>
        <w:rPr>
          <w:rFonts w:ascii="Calibri" w:eastAsia="Calibri" w:hAnsi="Calibri" w:cs="Calibri"/>
          <w:b/>
          <w:color w:val="000000"/>
        </w:rPr>
        <w:t>negrita</w:t>
      </w:r>
      <w:r>
        <w:rPr>
          <w:rFonts w:ascii="Calibri" w:eastAsia="Calibri" w:hAnsi="Calibri" w:cs="Calibri"/>
          <w:color w:val="000000"/>
        </w:rPr>
        <w:t>).</w:t>
      </w:r>
    </w:p>
    <w:p w:rsidR="00F254E2"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Este procedimiento PA03 está vinculado con todos los procedimientos del SGC, dado que atiende la gestión de los recursos y la prestación de servicios y apoyo técnico en todas las actividades del Centro y de la Universidad de Jaén en su conjunto. </w:t>
      </w:r>
    </w:p>
    <w:p w:rsidR="00F254E2" w:rsidRDefault="00000000">
      <w:pPr>
        <w:numPr>
          <w:ilvl w:val="0"/>
          <w:numId w:val="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Este procedimiento PA03 comprende a todos los </w:t>
      </w:r>
      <w:r>
        <w:rPr>
          <w:rFonts w:ascii="Calibri" w:eastAsia="Calibri" w:hAnsi="Calibri" w:cs="Calibri"/>
        </w:rPr>
        <w:t>títulos</w:t>
      </w:r>
      <w:r>
        <w:rPr>
          <w:rFonts w:ascii="Calibri" w:eastAsia="Calibri" w:hAnsi="Calibri" w:cs="Calibri"/>
          <w:color w:val="000000"/>
        </w:rPr>
        <w:t xml:space="preserve"> oficiales de la Universidad de Jaén asignados a la F</w:t>
      </w:r>
      <w:r>
        <w:rPr>
          <w:rFonts w:ascii="Calibri" w:eastAsia="Calibri" w:hAnsi="Calibri" w:cs="Calibri"/>
        </w:rPr>
        <w:t>CE</w:t>
      </w:r>
      <w:r>
        <w:rPr>
          <w:rFonts w:ascii="Calibri" w:eastAsia="Calibri" w:hAnsi="Calibri" w:cs="Calibri"/>
          <w:color w:val="000000"/>
        </w:rPr>
        <w:t>.</w:t>
      </w:r>
    </w:p>
    <w:p w:rsidR="001D0E4F" w:rsidRDefault="001D0E4F">
      <w:pPr>
        <w:numPr>
          <w:ilvl w:val="0"/>
          <w:numId w:val="3"/>
        </w:numPr>
        <w:pBdr>
          <w:top w:val="nil"/>
          <w:left w:val="nil"/>
          <w:bottom w:val="nil"/>
          <w:right w:val="nil"/>
          <w:between w:val="nil"/>
        </w:pBdr>
        <w:jc w:val="both"/>
        <w:rPr>
          <w:rFonts w:ascii="Calibri" w:eastAsia="Calibri" w:hAnsi="Calibri" w:cs="Calibri"/>
          <w:color w:val="000000"/>
        </w:rPr>
      </w:pPr>
      <w:hyperlink r:id="rId9" w:history="1">
        <w:r w:rsidRPr="001D0E4F">
          <w:rPr>
            <w:rStyle w:val="Hipervnculo"/>
            <w:rFonts w:ascii="Calibri" w:eastAsia="Calibri" w:hAnsi="Calibri" w:cs="Calibri"/>
            <w:color w:val="FF0000"/>
          </w:rPr>
          <w:t>Grupos de</w:t>
        </w:r>
        <w:r w:rsidRPr="001D0E4F">
          <w:rPr>
            <w:rStyle w:val="Hipervnculo"/>
            <w:rFonts w:ascii="Calibri" w:eastAsia="Calibri" w:hAnsi="Calibri" w:cs="Calibri"/>
            <w:color w:val="FF0000"/>
          </w:rPr>
          <w:t xml:space="preserve"> </w:t>
        </w:r>
        <w:r w:rsidRPr="001D0E4F">
          <w:rPr>
            <w:rStyle w:val="Hipervnculo"/>
            <w:rFonts w:ascii="Calibri" w:eastAsia="Calibri" w:hAnsi="Calibri" w:cs="Calibri"/>
            <w:color w:val="FF0000"/>
          </w:rPr>
          <w:t>interés</w:t>
        </w:r>
      </w:hyperlink>
      <w:r w:rsidRPr="001D0E4F">
        <w:rPr>
          <w:rFonts w:ascii="Calibri" w:eastAsia="Calibri" w:hAnsi="Calibri" w:cs="Calibri"/>
          <w:color w:val="FF0000"/>
        </w:rPr>
        <w:t xml:space="preserve"> identificados en este procedimiento.</w:t>
      </w:r>
    </w:p>
    <w:p w:rsidR="00F254E2" w:rsidRDefault="00F254E2">
      <w:pPr>
        <w:jc w:val="both"/>
        <w:rPr>
          <w:rFonts w:ascii="Calibri" w:eastAsia="Calibri" w:hAnsi="Calibri" w:cs="Calibri"/>
        </w:rPr>
      </w:pPr>
    </w:p>
    <w:p w:rsidR="00F254E2" w:rsidRDefault="00000000">
      <w:pPr>
        <w:jc w:val="both"/>
        <w:rPr>
          <w:rFonts w:ascii="Calibri" w:eastAsia="Calibri" w:hAnsi="Calibri" w:cs="Calibri"/>
          <w:b/>
        </w:rPr>
      </w:pPr>
      <w:r>
        <w:rPr>
          <w:rFonts w:ascii="Calibri" w:eastAsia="Calibri" w:hAnsi="Calibri" w:cs="Calibri"/>
          <w:b/>
        </w:rPr>
        <w:t>2. ALCANCE</w:t>
      </w:r>
    </w:p>
    <w:p w:rsidR="00F254E2" w:rsidRDefault="00F254E2">
      <w:pPr>
        <w:jc w:val="both"/>
        <w:rPr>
          <w:rFonts w:ascii="Calibri" w:eastAsia="Calibri" w:hAnsi="Calibri" w:cs="Calibri"/>
        </w:rPr>
      </w:pPr>
    </w:p>
    <w:p w:rsidR="00F254E2" w:rsidRDefault="00000000">
      <w:pPr>
        <w:jc w:val="both"/>
        <w:rPr>
          <w:rFonts w:ascii="Calibri" w:eastAsia="Calibri" w:hAnsi="Calibri" w:cs="Calibri"/>
        </w:rPr>
      </w:pPr>
      <w:r>
        <w:rPr>
          <w:rFonts w:ascii="Calibri" w:eastAsia="Calibri" w:hAnsi="Calibri" w:cs="Calibri"/>
          <w:b/>
        </w:rPr>
        <w:t>Entrada</w:t>
      </w:r>
      <w:r>
        <w:rPr>
          <w:rFonts w:ascii="Calibri" w:eastAsia="Calibri" w:hAnsi="Calibri" w:cs="Calibri"/>
        </w:rPr>
        <w:t>: Documento de Planificación, Desarrollo y Seguimiento del SGC para el nuevo ciclo de gestión (concretamente: necesidades de infraestructuras, recursos materiales y prestación de servicios, para el proceso de enseñanza-aprendizaje).</w:t>
      </w:r>
    </w:p>
    <w:p w:rsidR="00F254E2" w:rsidRDefault="00F254E2">
      <w:pPr>
        <w:jc w:val="both"/>
        <w:rPr>
          <w:rFonts w:ascii="Calibri" w:eastAsia="Calibri" w:hAnsi="Calibri" w:cs="Calibri"/>
        </w:rPr>
      </w:pPr>
    </w:p>
    <w:p w:rsidR="00F254E2" w:rsidRDefault="00000000">
      <w:pPr>
        <w:jc w:val="both"/>
        <w:rPr>
          <w:rFonts w:ascii="Calibri" w:eastAsia="Calibri" w:hAnsi="Calibri" w:cs="Calibri"/>
        </w:rPr>
      </w:pPr>
      <w:r>
        <w:rPr>
          <w:rFonts w:ascii="Calibri" w:eastAsia="Calibri" w:hAnsi="Calibri" w:cs="Calibri"/>
          <w:b/>
        </w:rPr>
        <w:t>Salida</w:t>
      </w:r>
      <w:r>
        <w:rPr>
          <w:rFonts w:ascii="Calibri" w:eastAsia="Calibri" w:hAnsi="Calibri" w:cs="Calibri"/>
        </w:rPr>
        <w:t>: Resultados sobre la suficiencia y adecuación de infraestructuras, recursos materiales y prestación de servicios, desde la perspectiva del proceso de enseñanza-aprendizaje.</w:t>
      </w:r>
    </w:p>
    <w:p w:rsidR="00F254E2" w:rsidRDefault="00F254E2">
      <w:pPr>
        <w:jc w:val="both"/>
        <w:rPr>
          <w:rFonts w:ascii="Calibri" w:eastAsia="Calibri" w:hAnsi="Calibri" w:cs="Calibri"/>
        </w:rPr>
      </w:pPr>
    </w:p>
    <w:p w:rsidR="00F254E2" w:rsidRDefault="00F254E2">
      <w:pPr>
        <w:jc w:val="both"/>
        <w:rPr>
          <w:rFonts w:ascii="Calibri" w:eastAsia="Calibri" w:hAnsi="Calibri" w:cs="Calibri"/>
          <w:b/>
        </w:rPr>
      </w:pPr>
    </w:p>
    <w:p w:rsidR="00F254E2" w:rsidRDefault="00000000">
      <w:pPr>
        <w:jc w:val="both"/>
        <w:rPr>
          <w:rFonts w:ascii="Calibri" w:eastAsia="Calibri" w:hAnsi="Calibri" w:cs="Calibri"/>
          <w:b/>
        </w:rPr>
      </w:pPr>
      <w:r>
        <w:rPr>
          <w:rFonts w:ascii="Calibri" w:eastAsia="Calibri" w:hAnsi="Calibri" w:cs="Calibri"/>
          <w:b/>
        </w:rPr>
        <w:t>3. RESPONSABILIDADES</w:t>
      </w:r>
    </w:p>
    <w:p w:rsidR="00F254E2" w:rsidRDefault="00F254E2">
      <w:pPr>
        <w:jc w:val="both"/>
        <w:rPr>
          <w:rFonts w:ascii="Calibri" w:eastAsia="Calibri" w:hAnsi="Calibri" w:cs="Calibri"/>
        </w:rPr>
      </w:pPr>
    </w:p>
    <w:p w:rsidR="00F254E2" w:rsidRDefault="00000000">
      <w:pPr>
        <w:numPr>
          <w:ilvl w:val="0"/>
          <w:numId w:val="1"/>
        </w:numPr>
        <w:pBdr>
          <w:top w:val="nil"/>
          <w:left w:val="nil"/>
          <w:bottom w:val="nil"/>
          <w:right w:val="nil"/>
          <w:between w:val="nil"/>
        </w:pBdr>
        <w:rPr>
          <w:rFonts w:ascii="Calibri" w:eastAsia="Calibri" w:hAnsi="Calibri" w:cs="Calibri"/>
        </w:rPr>
      </w:pPr>
      <w:r>
        <w:rPr>
          <w:rFonts w:ascii="Calibri" w:eastAsia="Calibri" w:hAnsi="Calibri" w:cs="Calibri"/>
        </w:rPr>
        <w:t>Comisión de Coordinación de Título. [CCT]</w:t>
      </w:r>
    </w:p>
    <w:p w:rsidR="00F254E2"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Comisión de Garantía de Calidad. [CGC]</w:t>
      </w:r>
    </w:p>
    <w:p w:rsidR="00F254E2"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Consejo de Gobierno. [UJA-CG]</w:t>
      </w:r>
    </w:p>
    <w:p w:rsidR="00F254E2"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Decano/a. [DEC]</w:t>
      </w:r>
    </w:p>
    <w:p w:rsidR="00F254E2"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Gerencia. [UJA-GER]</w:t>
      </w:r>
    </w:p>
    <w:p w:rsidR="00F254E2"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lastRenderedPageBreak/>
        <w:t xml:space="preserve">Junta de </w:t>
      </w:r>
      <w:r>
        <w:rPr>
          <w:rFonts w:ascii="Calibri" w:eastAsia="Calibri" w:hAnsi="Calibri" w:cs="Calibri"/>
        </w:rPr>
        <w:t>Facultad.</w:t>
      </w:r>
      <w:r>
        <w:rPr>
          <w:rFonts w:ascii="Calibri" w:eastAsia="Calibri" w:hAnsi="Calibri" w:cs="Calibri"/>
          <w:color w:val="000000"/>
        </w:rPr>
        <w:t xml:space="preserve"> [J</w:t>
      </w:r>
      <w:r>
        <w:rPr>
          <w:rFonts w:ascii="Calibri" w:eastAsia="Calibri" w:hAnsi="Calibri" w:cs="Calibri"/>
        </w:rPr>
        <w:t>F</w:t>
      </w:r>
      <w:r>
        <w:rPr>
          <w:rFonts w:ascii="Calibri" w:eastAsia="Calibri" w:hAnsi="Calibri" w:cs="Calibri"/>
          <w:color w:val="000000"/>
        </w:rPr>
        <w:t>]</w:t>
      </w:r>
    </w:p>
    <w:p w:rsidR="00F254E2"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Servicio de Personal. [SPER]</w:t>
      </w:r>
    </w:p>
    <w:p w:rsidR="00F254E2"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Servicio de Planificación y Evaluación. [SPE]</w:t>
      </w:r>
    </w:p>
    <w:p w:rsidR="00F254E2"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Vicedecano/a con competencias en Títulos. [VICTIT]</w:t>
      </w:r>
    </w:p>
    <w:p w:rsidR="00F254E2" w:rsidRDefault="00F254E2">
      <w:pPr>
        <w:jc w:val="both"/>
        <w:rPr>
          <w:rFonts w:ascii="Calibri" w:eastAsia="Calibri" w:hAnsi="Calibri" w:cs="Calibri"/>
        </w:rPr>
      </w:pPr>
    </w:p>
    <w:p w:rsidR="00F254E2" w:rsidRDefault="00000000">
      <w:pPr>
        <w:jc w:val="both"/>
        <w:rPr>
          <w:rFonts w:ascii="Calibri" w:eastAsia="Calibri" w:hAnsi="Calibri" w:cs="Calibri"/>
          <w:b/>
        </w:rPr>
      </w:pPr>
      <w:r>
        <w:rPr>
          <w:rFonts w:ascii="Calibri" w:eastAsia="Calibri" w:hAnsi="Calibri" w:cs="Calibri"/>
          <w:b/>
        </w:rPr>
        <w:t>4. DESARROLLO</w:t>
      </w:r>
    </w:p>
    <w:p w:rsidR="00F254E2" w:rsidRDefault="00F254E2">
      <w:pPr>
        <w:jc w:val="both"/>
        <w:rPr>
          <w:rFonts w:ascii="Calibri" w:eastAsia="Calibri" w:hAnsi="Calibri" w:cs="Calibri"/>
        </w:rPr>
      </w:pPr>
    </w:p>
    <w:p w:rsidR="00F254E2" w:rsidRDefault="00000000">
      <w:pPr>
        <w:jc w:val="both"/>
        <w:rPr>
          <w:rFonts w:ascii="Calibri" w:eastAsia="Calibri" w:hAnsi="Calibri" w:cs="Calibri"/>
          <w:b/>
        </w:rPr>
      </w:pPr>
      <w:r>
        <w:rPr>
          <w:rFonts w:ascii="Calibri" w:eastAsia="Calibri" w:hAnsi="Calibri" w:cs="Calibri"/>
          <w:b/>
        </w:rPr>
        <w:t>4.1. GESTIÓN DE RECURSOS PARA EL APRENDIZAJE Y APOYO AL ESTUDIANTADO</w:t>
      </w:r>
    </w:p>
    <w:p w:rsidR="00F254E2" w:rsidRDefault="00F254E2">
      <w:pPr>
        <w:jc w:val="both"/>
        <w:rPr>
          <w:rFonts w:ascii="Calibri" w:eastAsia="Calibri" w:hAnsi="Calibri" w:cs="Calibri"/>
        </w:rPr>
      </w:pPr>
    </w:p>
    <w:p w:rsidR="00F254E2"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[La Universidad de Jaén tiene implantado de forma transversal el Sistema Integrado de Gestión de la Calidad de los Servicios y Unidades Administrativas (</w:t>
      </w:r>
      <w:hyperlink r:id="rId10">
        <w:r>
          <w:rPr>
            <w:rFonts w:ascii="Calibri" w:eastAsia="Calibri" w:hAnsi="Calibri" w:cs="Calibri"/>
            <w:color w:val="0000FF"/>
            <w:u w:val="single"/>
          </w:rPr>
          <w:t>SIGC-SUA</w:t>
        </w:r>
      </w:hyperlink>
      <w:r>
        <w:rPr>
          <w:rFonts w:ascii="Calibri" w:eastAsia="Calibri" w:hAnsi="Calibri" w:cs="Calibri"/>
          <w:color w:val="000000"/>
        </w:rPr>
        <w:t>), que integra el área de gestión de los recursos y el área de prestación de servicios y apoyo técnico</w:t>
      </w:r>
      <w:r>
        <w:rPr>
          <w:rFonts w:ascii="Calibri" w:eastAsia="Calibri" w:hAnsi="Calibri" w:cs="Calibri"/>
        </w:rPr>
        <w:t>].</w:t>
      </w:r>
    </w:p>
    <w:p w:rsidR="00F254E2"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[En este sentido, se gestionan los recursos siguientes:</w:t>
      </w:r>
    </w:p>
    <w:p w:rsidR="00F254E2" w:rsidRDefault="00000000">
      <w:pPr>
        <w:numPr>
          <w:ilvl w:val="1"/>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Económicos: Gestión presupuestaria, económica, contable y fiscal. Gestión de las adquisiciones externas de bienes, suministros, obras y servicios. Gestión del Inventario General de la Universidad.</w:t>
      </w:r>
    </w:p>
    <w:p w:rsidR="00F254E2" w:rsidRDefault="00000000">
      <w:pPr>
        <w:numPr>
          <w:ilvl w:val="1"/>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Infraestructuras y equipamientos: Gestión de la asignación y disponibilidad de los espacios de la Universidad. Gestión del mantenimiento de las infraestructuras, instalaciones y equipamientos de la Universidad. Gestión de los residuos peligrosos generados.</w:t>
      </w:r>
    </w:p>
    <w:p w:rsidR="00F254E2" w:rsidRDefault="00000000">
      <w:pPr>
        <w:numPr>
          <w:ilvl w:val="1"/>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Humanos: Gestión de los procedimientos de selección de Recursos Humanos y del desarrollo y seguimiento de la actividad profesional y de los derechos laborales. (Desarrollado en el procedimiento PA01 </w:t>
      </w:r>
      <w:r>
        <w:rPr>
          <w:rFonts w:ascii="Calibri" w:eastAsia="Calibri" w:hAnsi="Calibri" w:cs="Calibri"/>
          <w:i/>
          <w:color w:val="000000"/>
        </w:rPr>
        <w:t>Gestión de Personal Docente</w:t>
      </w:r>
      <w:r>
        <w:rPr>
          <w:rFonts w:ascii="Calibri" w:eastAsia="Calibri" w:hAnsi="Calibri" w:cs="Calibri"/>
          <w:color w:val="000000"/>
        </w:rPr>
        <w:t>).</w:t>
      </w:r>
    </w:p>
    <w:p w:rsidR="00F254E2" w:rsidRDefault="00000000">
      <w:pPr>
        <w:numPr>
          <w:ilvl w:val="1"/>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Información y conocimiento: Gestión de los recursos para la información general, de los recursos de información para el conocimiento y la toma de decisiones, y el asesoramiento técnico de naturaleza especializada</w:t>
      </w:r>
      <w:r>
        <w:rPr>
          <w:rFonts w:ascii="Calibri" w:eastAsia="Calibri" w:hAnsi="Calibri" w:cs="Calibri"/>
        </w:rPr>
        <w:t>].</w:t>
      </w:r>
    </w:p>
    <w:p w:rsidR="00F254E2"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 SIGC-SUA integra también el área de prestación de servicios y apoyo técnico siguientes:</w:t>
      </w:r>
    </w:p>
    <w:p w:rsidR="00F254E2" w:rsidRDefault="00000000">
      <w:pPr>
        <w:numPr>
          <w:ilvl w:val="1"/>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Servicios de apoyo a la Investigación: Gestión de apoyo a la actividad investigadora y a la transferencia de resultados de investigación.</w:t>
      </w:r>
    </w:p>
    <w:p w:rsidR="00F254E2" w:rsidRDefault="00000000">
      <w:pPr>
        <w:numPr>
          <w:ilvl w:val="1"/>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Servicios de apoyo científico/técnico: Gestión de la prestación de servicios de apoyo científico/técnico a la docencia, investigación y la gestión de la Universidad.</w:t>
      </w:r>
    </w:p>
    <w:p w:rsidR="00F254E2" w:rsidRDefault="00000000">
      <w:pPr>
        <w:numPr>
          <w:ilvl w:val="1"/>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Servicios académicos: Gestión administrativa y de prestación de servicios de apoyo para el desarrollo de la actividad académica de la Universidad.</w:t>
      </w:r>
    </w:p>
    <w:p w:rsidR="00F254E2" w:rsidRDefault="00000000">
      <w:pPr>
        <w:numPr>
          <w:ilvl w:val="1"/>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Servicios complementarios: Gestión de la prestación de servicios complementarios al estudiante, gestión de becas y ayudas, gestión de la movilidad y gestión de la cooperación.</w:t>
      </w:r>
    </w:p>
    <w:p w:rsidR="00F254E2" w:rsidRDefault="00000000">
      <w:pPr>
        <w:numPr>
          <w:ilvl w:val="1"/>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Servicios de apoyo institucional: Gestión de la organización de actos, eventos, comunicación y relaciones institucionales.</w:t>
      </w:r>
    </w:p>
    <w:p w:rsidR="00F254E2" w:rsidRDefault="00000000">
      <w:pPr>
        <w:numPr>
          <w:ilvl w:val="1"/>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Gestión documental: Gestión del Registro. Gestión del Archivo General de la Universidad</w:t>
      </w:r>
      <w:r>
        <w:rPr>
          <w:rFonts w:ascii="Calibri" w:eastAsia="Calibri" w:hAnsi="Calibri" w:cs="Calibri"/>
        </w:rPr>
        <w:t>].</w:t>
      </w:r>
    </w:p>
    <w:p w:rsidR="00F254E2"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 SIGC-SUA se encuentra certificado por la Norma ISO 9001:2015, lo que permite garantizar que se cumple con la totalidad de requisitos generales establecidos por la Norma, los requisitos legales que regulan el desarrollo de los procesos identificados en el SIGC-SUA y las necesidades y expectativas manifestadas por los grupos de interés identificados en la UJA</w:t>
      </w:r>
      <w:r>
        <w:rPr>
          <w:rFonts w:ascii="Calibri" w:eastAsia="Calibri" w:hAnsi="Calibri" w:cs="Calibri"/>
        </w:rPr>
        <w:t>].</w:t>
      </w:r>
      <w:r>
        <w:rPr>
          <w:rFonts w:ascii="Calibri" w:eastAsia="Calibri" w:hAnsi="Calibri" w:cs="Calibri"/>
          <w:color w:val="000000"/>
        </w:rPr>
        <w:t xml:space="preserve"> </w:t>
      </w:r>
    </w:p>
    <w:p w:rsidR="00F254E2"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[Asimismo, el SIGC-SUA tiene integrada la metodología de gestión de riesgos y oportunidades, que conlleva un análisis periódico del contexto interno y externo, la identificación de las partes interesadas, la comprensión de las necesidades y expectativas de las partes interesadas y la puesta en marcha de acciones para afrontar los riesgos y las oportunidades identificados</w:t>
      </w:r>
      <w:r>
        <w:rPr>
          <w:rFonts w:ascii="Calibri" w:eastAsia="Calibri" w:hAnsi="Calibri" w:cs="Calibri"/>
        </w:rPr>
        <w:t>].</w:t>
      </w:r>
    </w:p>
    <w:p w:rsidR="00F254E2"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[Del mismo modo, el SIGC-SUA dispone de los procesos estratégicos PE01 </w:t>
      </w:r>
      <w:r>
        <w:rPr>
          <w:rFonts w:ascii="Calibri" w:eastAsia="Calibri" w:hAnsi="Calibri" w:cs="Calibri"/>
          <w:i/>
          <w:color w:val="000000"/>
        </w:rPr>
        <w:t xml:space="preserve">Planificación y Mejora Continua </w:t>
      </w:r>
      <w:r>
        <w:rPr>
          <w:rFonts w:ascii="Calibri" w:eastAsia="Calibri" w:hAnsi="Calibri" w:cs="Calibri"/>
          <w:color w:val="000000"/>
        </w:rPr>
        <w:t xml:space="preserve">y PE02 </w:t>
      </w:r>
      <w:r>
        <w:rPr>
          <w:rFonts w:ascii="Calibri" w:eastAsia="Calibri" w:hAnsi="Calibri" w:cs="Calibri"/>
          <w:i/>
          <w:color w:val="000000"/>
        </w:rPr>
        <w:t>Retroalimentación de los Grupos de Interés</w:t>
      </w:r>
      <w:r>
        <w:rPr>
          <w:rFonts w:ascii="Calibri" w:eastAsia="Calibri" w:hAnsi="Calibri" w:cs="Calibri"/>
          <w:color w:val="000000"/>
        </w:rPr>
        <w:t>. Este último proceso incluye el seguimiento de los compromisos de calidad, la gestión de las quejas y sugerencias, la gestión de encuestas a grupos de interés, de las encuestas de clima laboral y la gestión de las encuestas post-servicio</w:t>
      </w:r>
      <w:r>
        <w:rPr>
          <w:rFonts w:ascii="Calibri" w:eastAsia="Calibri" w:hAnsi="Calibri" w:cs="Calibri"/>
        </w:rPr>
        <w:t>].</w:t>
      </w:r>
      <w:r>
        <w:rPr>
          <w:rFonts w:ascii="Calibri" w:eastAsia="Calibri" w:hAnsi="Calibri" w:cs="Calibri"/>
          <w:color w:val="000000"/>
        </w:rPr>
        <w:t xml:space="preserve"> </w:t>
      </w:r>
    </w:p>
    <w:p w:rsidR="00F254E2"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[La documentación de los procesos, de la planificación, de la revisión y mejora y de las auditorías realizadas se encuentran disponibles con acceso abierto en la </w:t>
      </w:r>
      <w:hyperlink r:id="rId11">
        <w:r>
          <w:rPr>
            <w:rFonts w:ascii="Calibri" w:eastAsia="Calibri" w:hAnsi="Calibri" w:cs="Calibri"/>
            <w:color w:val="0000FF"/>
            <w:u w:val="single"/>
          </w:rPr>
          <w:t>página web del SIGC-SUA</w:t>
        </w:r>
      </w:hyperlink>
      <w:r>
        <w:rPr>
          <w:rFonts w:ascii="Calibri" w:eastAsia="Calibri" w:hAnsi="Calibri" w:cs="Calibri"/>
          <w:color w:val="000000"/>
        </w:rPr>
        <w:t>, segmentados en carpetas por ciclos de gestión</w:t>
      </w:r>
      <w:r>
        <w:rPr>
          <w:rFonts w:ascii="Calibri" w:eastAsia="Calibri" w:hAnsi="Calibri" w:cs="Calibri"/>
        </w:rPr>
        <w:t>].</w:t>
      </w:r>
    </w:p>
    <w:p w:rsidR="00F254E2"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[Tal y como se indica en el procedimiento </w:t>
      </w:r>
      <w:r>
        <w:rPr>
          <w:rFonts w:ascii="Calibri" w:eastAsia="Calibri" w:hAnsi="Calibri" w:cs="Calibri"/>
          <w:i/>
          <w:color w:val="000000"/>
        </w:rPr>
        <w:t>PA01 Gestión de la Información y Análisis de Resultados</w:t>
      </w:r>
      <w:r>
        <w:rPr>
          <w:rFonts w:ascii="Calibri" w:eastAsia="Calibri" w:hAnsi="Calibri" w:cs="Calibri"/>
          <w:color w:val="000000"/>
        </w:rPr>
        <w:t xml:space="preserve">, el cuadro de indicadores del SGC del Centro contiene los </w:t>
      </w:r>
      <w:r>
        <w:rPr>
          <w:rFonts w:ascii="Calibri" w:eastAsia="Calibri" w:hAnsi="Calibri" w:cs="Calibri"/>
          <w:i/>
          <w:color w:val="000000"/>
        </w:rPr>
        <w:t>Indicadores clave del SGC del Centro</w:t>
      </w:r>
      <w:r>
        <w:rPr>
          <w:rFonts w:ascii="Calibri" w:eastAsia="Calibri" w:hAnsi="Calibri" w:cs="Calibri"/>
          <w:color w:val="000000"/>
        </w:rPr>
        <w:t xml:space="preserve">, habiendo dentro de estos un apartado específico de </w:t>
      </w:r>
      <w:r>
        <w:rPr>
          <w:rFonts w:ascii="Calibri" w:eastAsia="Calibri" w:hAnsi="Calibri" w:cs="Calibri"/>
          <w:i/>
          <w:color w:val="000000"/>
        </w:rPr>
        <w:t>Datos de uso y gestión de Servicios Universitarios</w:t>
      </w:r>
      <w:r>
        <w:rPr>
          <w:rFonts w:ascii="Calibri" w:eastAsia="Calibri" w:hAnsi="Calibri" w:cs="Calibri"/>
          <w:color w:val="000000"/>
        </w:rPr>
        <w:t xml:space="preserve"> que contiene resultados, entre otros, de matrícula, reconocimiento de créditos, acreditación de resultados, atención al usuario, biblioteca, becas y ayudas, movilidad, prácticas extracurriculares, asignación de espacios, deportes, mantenimiento preventivo/normativo, publicaciones en tablones oficiales, acceso y control de espacios, anuario estadístico, gestión de encuestas, apoyo técnico a laboratorios]. Esta información se encuentra disponible para el Centro en un espacio web compartido que es gestionado por SPE: </w:t>
      </w:r>
      <w:hyperlink r:id="rId12">
        <w:r>
          <w:rPr>
            <w:rFonts w:ascii="Calibri" w:eastAsia="Calibri" w:hAnsi="Calibri" w:cs="Calibri"/>
            <w:color w:val="0000FF"/>
            <w:u w:val="single"/>
          </w:rPr>
          <w:t>https://www.ujaen.es/servicios/spe/indicadores-clave-sgc-centros</w:t>
        </w:r>
      </w:hyperlink>
      <w:r>
        <w:rPr>
          <w:rFonts w:ascii="Calibri" w:eastAsia="Calibri" w:hAnsi="Calibri" w:cs="Calibri"/>
        </w:rPr>
        <w:t>].</w:t>
      </w:r>
    </w:p>
    <w:p w:rsidR="00F254E2"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DEC vela por el cumplimiento de las normas que afecten al Centro y, en especial, las relativas al buen funcionamiento de los servicios, al cumplimiento de las obligaciones docentes del profesorado y al mantenimiento de la disciplina académica.</w:t>
      </w:r>
    </w:p>
    <w:p w:rsidR="00F254E2" w:rsidRDefault="00000000">
      <w:pPr>
        <w:numPr>
          <w:ilvl w:val="0"/>
          <w:numId w:val="9"/>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VICTIT</w:t>
      </w:r>
      <w:r>
        <w:rPr>
          <w:rFonts w:ascii="Calibri" w:eastAsia="Calibri" w:hAnsi="Calibri" w:cs="Calibri"/>
          <w:b/>
          <w:color w:val="000000"/>
        </w:rPr>
        <w:t xml:space="preserve"> recaba periódicamente información sobre las necesidades de adecuación de las infraestructuras, de los recursos materiales y de los servicios prestados (incluyendo la gestión académico-administrativa del programa formativo), atendiendo a las características propias de cada titulación. </w:t>
      </w:r>
      <w:r>
        <w:rPr>
          <w:rFonts w:ascii="Calibri" w:eastAsia="Calibri" w:hAnsi="Calibri" w:cs="Calibri"/>
          <w:b/>
        </w:rPr>
        <w:t>Posteriormente informa a CGC.</w:t>
      </w:r>
    </w:p>
    <w:p w:rsidR="00F254E2" w:rsidRDefault="00000000">
      <w:pPr>
        <w:numPr>
          <w:ilvl w:val="0"/>
          <w:numId w:val="9"/>
        </w:numPr>
        <w:pBdr>
          <w:top w:val="nil"/>
          <w:left w:val="nil"/>
          <w:bottom w:val="nil"/>
          <w:right w:val="nil"/>
          <w:between w:val="nil"/>
        </w:pBdr>
        <w:jc w:val="both"/>
        <w:rPr>
          <w:rFonts w:ascii="Calibri" w:eastAsia="Calibri" w:hAnsi="Calibri" w:cs="Calibri"/>
          <w:b/>
        </w:rPr>
      </w:pPr>
      <w:r>
        <w:rPr>
          <w:rFonts w:ascii="Calibri" w:eastAsia="Calibri" w:hAnsi="Calibri" w:cs="Calibri"/>
          <w:b/>
        </w:rPr>
        <w:t>CGC analiza periódicamente la información sobre las necesidades de adecuación de las infraestructuras, de los recursos materiales y de los servicios prestados.</w:t>
      </w:r>
    </w:p>
    <w:p w:rsidR="00F254E2" w:rsidRDefault="00000000">
      <w:pPr>
        <w:numPr>
          <w:ilvl w:val="0"/>
          <w:numId w:val="9"/>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lastRenderedPageBreak/>
        <w:t>VICTIT</w:t>
      </w:r>
      <w:r>
        <w:rPr>
          <w:rFonts w:ascii="Calibri" w:eastAsia="Calibri" w:hAnsi="Calibri" w:cs="Calibri"/>
          <w:b/>
          <w:color w:val="000000"/>
        </w:rPr>
        <w:t xml:space="preserve"> vela para que los servicios prestados sean accesibles, conocidos por el alumnado y adaptados a las necesidades de su aprendizaje.</w:t>
      </w:r>
    </w:p>
    <w:p w:rsidR="00F254E2" w:rsidRDefault="00000000">
      <w:pPr>
        <w:numPr>
          <w:ilvl w:val="0"/>
          <w:numId w:val="9"/>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CGC, con el apoyo de la CCT, analiza los datos de uso y gestión de servicios universitarios, así como otros resultados relacionados con los recursos para el aprendizaje y apoyo al estudiantado, como los resultados de satisfacción con los recursos materiales y servicios y los resultados del proceso de enseñanza-aprendizaje y, en su caso, propone acciones de mejora para su inclusión en el Plan de Mejora del Centro.</w:t>
      </w:r>
    </w:p>
    <w:p w:rsidR="00F254E2" w:rsidRDefault="00000000">
      <w:pPr>
        <w:numPr>
          <w:ilvl w:val="0"/>
          <w:numId w:val="9"/>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 xml:space="preserve">DEC informa a JF sobre la gestión de recursos para el aprendizaje y apoyo al estudiantado y acciones de mejora propuestas, valorando la suficiencia y adecuación de los recursos para el aprendizaje y apoyo al estudiantado. </w:t>
      </w:r>
    </w:p>
    <w:p w:rsidR="00F254E2"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b/>
        </w:rPr>
        <w:t xml:space="preserve">DEC </w:t>
      </w:r>
      <w:r>
        <w:rPr>
          <w:rFonts w:ascii="Calibri" w:eastAsia="Calibri" w:hAnsi="Calibri" w:cs="Calibri"/>
          <w:b/>
          <w:color w:val="000000"/>
        </w:rPr>
        <w:t>transmite, en su caso, la solicitud de necesidades de adecuación de las infraestructuras, de los recursos materiales y de los servicios prestados a los órganos universitarios competentes en la materia y coordina con ellos las actividades, recursos y servicios comunes que correspondan.</w:t>
      </w:r>
    </w:p>
    <w:p w:rsidR="00F254E2" w:rsidRDefault="00F254E2">
      <w:pPr>
        <w:jc w:val="both"/>
        <w:rPr>
          <w:rFonts w:ascii="Calibri" w:eastAsia="Calibri" w:hAnsi="Calibri" w:cs="Calibri"/>
        </w:rPr>
      </w:pPr>
    </w:p>
    <w:p w:rsidR="00F254E2" w:rsidRDefault="00F254E2">
      <w:pPr>
        <w:jc w:val="both"/>
        <w:rPr>
          <w:rFonts w:ascii="Calibri" w:eastAsia="Calibri" w:hAnsi="Calibri" w:cs="Calibri"/>
        </w:rPr>
      </w:pPr>
    </w:p>
    <w:p w:rsidR="00F254E2" w:rsidRDefault="00000000">
      <w:pPr>
        <w:jc w:val="both"/>
        <w:rPr>
          <w:rFonts w:ascii="Calibri" w:eastAsia="Calibri" w:hAnsi="Calibri" w:cs="Calibri"/>
          <w:b/>
        </w:rPr>
      </w:pPr>
      <w:bookmarkStart w:id="0" w:name="_heading=h.30j0zll" w:colFirst="0" w:colLast="0"/>
      <w:bookmarkEnd w:id="0"/>
      <w:r>
        <w:rPr>
          <w:rFonts w:ascii="Calibri" w:eastAsia="Calibri" w:hAnsi="Calibri" w:cs="Calibri"/>
          <w:b/>
        </w:rPr>
        <w:t>4.2. GESTIÓN DEL PERSONAL DE APOYO A LA DOCENCIA</w:t>
      </w:r>
    </w:p>
    <w:p w:rsidR="00F254E2" w:rsidRDefault="00F254E2">
      <w:pPr>
        <w:jc w:val="both"/>
        <w:rPr>
          <w:rFonts w:ascii="Calibri" w:eastAsia="Calibri" w:hAnsi="Calibri" w:cs="Calibri"/>
        </w:rPr>
      </w:pPr>
    </w:p>
    <w:p w:rsidR="00F254E2"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[UJA-GER establece la Política del Personal de Administración y Servicios (PAS)</w:t>
      </w:r>
      <w:r>
        <w:rPr>
          <w:rFonts w:ascii="Calibri" w:eastAsia="Calibri" w:hAnsi="Calibri" w:cs="Calibri"/>
        </w:rPr>
        <w:t>].</w:t>
      </w:r>
    </w:p>
    <w:p w:rsidR="00F254E2"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[UJA-CG aprueba la Política del PAS, que incluye, entre otros, la Relación de Puestos de Trabajo, así como los criterios para la promoción y el reconocimiento</w:t>
      </w:r>
      <w:r>
        <w:rPr>
          <w:rFonts w:ascii="Calibri" w:eastAsia="Calibri" w:hAnsi="Calibri" w:cs="Calibri"/>
        </w:rPr>
        <w:t>].</w:t>
      </w:r>
    </w:p>
    <w:p w:rsidR="00F254E2"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[UJA-GER difunde la Política del PAS</w:t>
      </w:r>
      <w:r>
        <w:rPr>
          <w:rFonts w:ascii="Calibri" w:eastAsia="Calibri" w:hAnsi="Calibri" w:cs="Calibri"/>
        </w:rPr>
        <w:t>].</w:t>
      </w:r>
    </w:p>
    <w:p w:rsidR="00F254E2"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[UGA-GER y SPER realizan el seguimiento, revisión y actualización correspondiente a la Política del PAS</w:t>
      </w:r>
      <w:r>
        <w:rPr>
          <w:rFonts w:ascii="Calibri" w:eastAsia="Calibri" w:hAnsi="Calibri" w:cs="Calibri"/>
        </w:rPr>
        <w:t>].</w:t>
      </w:r>
      <w:r>
        <w:rPr>
          <w:rFonts w:ascii="Calibri" w:eastAsia="Calibri" w:hAnsi="Calibri" w:cs="Calibri"/>
          <w:color w:val="000000"/>
        </w:rPr>
        <w:t xml:space="preserve"> </w:t>
      </w:r>
    </w:p>
    <w:p w:rsidR="00F254E2"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[Desde los Departamentos, </w:t>
      </w:r>
      <w:r>
        <w:rPr>
          <w:rFonts w:ascii="Calibri" w:eastAsia="Calibri" w:hAnsi="Calibri" w:cs="Calibri"/>
          <w:b/>
        </w:rPr>
        <w:t>Centros</w:t>
      </w:r>
      <w:r>
        <w:rPr>
          <w:rFonts w:ascii="Calibri" w:eastAsia="Calibri" w:hAnsi="Calibri" w:cs="Calibri"/>
          <w:color w:val="000000"/>
        </w:rPr>
        <w:t xml:space="preserve"> y Servicios de la UJA, atendiendo a sus diferentes funciones, se detectan las necesidades de personal. Dichas necesidades se comunican a UJA-GER, que toma la decisión acerca de su provisión y de la modificación de la Relación de Puestos de Trabajo, en su caso</w:t>
      </w:r>
      <w:r>
        <w:rPr>
          <w:rFonts w:ascii="Calibri" w:eastAsia="Calibri" w:hAnsi="Calibri" w:cs="Calibri"/>
        </w:rPr>
        <w:t>].</w:t>
      </w:r>
    </w:p>
    <w:p w:rsidR="00F254E2"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[UJA-CG aprueba la dotación de nueva plaza, comenzando el proceso de selección en base a la normativa vigente</w:t>
      </w:r>
      <w:r>
        <w:rPr>
          <w:rFonts w:ascii="Calibri" w:eastAsia="Calibri" w:hAnsi="Calibri" w:cs="Calibri"/>
        </w:rPr>
        <w:t>].</w:t>
      </w:r>
    </w:p>
    <w:p w:rsidR="00F254E2"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 proceso de selección finaliza con la resolución de la convocatoria de la plaza y la incorporación del candidato seleccionado</w:t>
      </w:r>
      <w:r>
        <w:rPr>
          <w:rFonts w:ascii="Calibri" w:eastAsia="Calibri" w:hAnsi="Calibri" w:cs="Calibri"/>
        </w:rPr>
        <w:t>].</w:t>
      </w:r>
    </w:p>
    <w:p w:rsidR="00F254E2"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[SPER es quien se encarga de la gestión administrativa de contratación de PAS</w:t>
      </w:r>
      <w:r>
        <w:rPr>
          <w:rFonts w:ascii="Calibri" w:eastAsia="Calibri" w:hAnsi="Calibri" w:cs="Calibri"/>
        </w:rPr>
        <w:t>].</w:t>
      </w:r>
    </w:p>
    <w:p w:rsidR="00F254E2"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[UJA-GER y SPER son los responsables de la gestión de la formación del PAS</w:t>
      </w:r>
      <w:r>
        <w:rPr>
          <w:rFonts w:ascii="Calibri" w:eastAsia="Calibri" w:hAnsi="Calibri" w:cs="Calibri"/>
        </w:rPr>
        <w:t>].</w:t>
      </w:r>
    </w:p>
    <w:p w:rsidR="00F254E2"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[Las necesidades de formación son comunicadas a UJA-GER, para que considere su inclusión en el Plan de Formación Anual</w:t>
      </w:r>
      <w:r>
        <w:rPr>
          <w:rFonts w:ascii="Calibri" w:eastAsia="Calibri" w:hAnsi="Calibri" w:cs="Calibri"/>
        </w:rPr>
        <w:t>].</w:t>
      </w:r>
    </w:p>
    <w:p w:rsidR="00F254E2" w:rsidRDefault="00000000">
      <w:pPr>
        <w:numPr>
          <w:ilvl w:val="0"/>
          <w:numId w:val="7"/>
        </w:numPr>
        <w:pBdr>
          <w:top w:val="nil"/>
          <w:left w:val="nil"/>
          <w:bottom w:val="nil"/>
          <w:right w:val="nil"/>
          <w:between w:val="nil"/>
        </w:pBdr>
        <w:jc w:val="both"/>
        <w:rPr>
          <w:rFonts w:ascii="Calibri" w:eastAsia="Calibri" w:hAnsi="Calibri" w:cs="Calibri"/>
          <w:color w:val="000000"/>
        </w:rPr>
      </w:pPr>
      <w:bookmarkStart w:id="1" w:name="_heading=h.gjdgxs" w:colFirst="0" w:colLast="0"/>
      <w:bookmarkEnd w:id="1"/>
      <w:r>
        <w:rPr>
          <w:rFonts w:ascii="Calibri" w:eastAsia="Calibri" w:hAnsi="Calibri" w:cs="Calibri"/>
          <w:color w:val="000000"/>
        </w:rPr>
        <w:t>[SPER es el responsable del seguimiento, satisfacción y análisis de las actividades formativas dirigidas al PAS</w:t>
      </w:r>
      <w:r>
        <w:rPr>
          <w:rFonts w:ascii="Calibri" w:eastAsia="Calibri" w:hAnsi="Calibri" w:cs="Calibri"/>
        </w:rPr>
        <w:t>].</w:t>
      </w:r>
    </w:p>
    <w:p w:rsidR="00F254E2"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[La evaluación de la actividad que desarrolla el personal de apoyo se realiza de forma global en el momento en que se evalúa el Servicio o Unidad al que están adscritos (UJA-GER)</w:t>
      </w:r>
      <w:r>
        <w:rPr>
          <w:rFonts w:ascii="Calibri" w:eastAsia="Calibri" w:hAnsi="Calibri" w:cs="Calibri"/>
        </w:rPr>
        <w:t>].</w:t>
      </w:r>
    </w:p>
    <w:p w:rsidR="00F254E2" w:rsidRDefault="00F254E2">
      <w:pPr>
        <w:pBdr>
          <w:top w:val="nil"/>
          <w:left w:val="nil"/>
          <w:bottom w:val="nil"/>
          <w:right w:val="nil"/>
          <w:between w:val="nil"/>
        </w:pBdr>
        <w:ind w:left="720"/>
        <w:rPr>
          <w:rFonts w:ascii="Calibri" w:eastAsia="Calibri" w:hAnsi="Calibri" w:cs="Calibri"/>
        </w:rPr>
      </w:pPr>
    </w:p>
    <w:p w:rsidR="00F254E2" w:rsidRDefault="00F254E2">
      <w:pPr>
        <w:jc w:val="both"/>
        <w:rPr>
          <w:rFonts w:ascii="Calibri" w:eastAsia="Calibri" w:hAnsi="Calibri" w:cs="Calibri"/>
        </w:rPr>
      </w:pPr>
    </w:p>
    <w:p w:rsidR="00F254E2" w:rsidRDefault="00000000">
      <w:pPr>
        <w:jc w:val="both"/>
        <w:rPr>
          <w:rFonts w:ascii="Calibri" w:eastAsia="Calibri" w:hAnsi="Calibri" w:cs="Calibri"/>
          <w:b/>
        </w:rPr>
      </w:pPr>
      <w:r>
        <w:rPr>
          <w:rFonts w:ascii="Calibri" w:eastAsia="Calibri" w:hAnsi="Calibri" w:cs="Calibri"/>
          <w:b/>
        </w:rPr>
        <w:t>5. INDICADORES</w:t>
      </w:r>
    </w:p>
    <w:p w:rsidR="00F254E2" w:rsidRDefault="00F254E2">
      <w:pPr>
        <w:jc w:val="both"/>
        <w:rPr>
          <w:rFonts w:ascii="Calibri" w:eastAsia="Calibri" w:hAnsi="Calibri" w:cs="Calibri"/>
        </w:rPr>
      </w:pPr>
    </w:p>
    <w:p w:rsidR="00F254E2"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Evaluación de las necesidades de adecuación de las infraestructuras, de los recursos materiales y de los servicios prestados (Sí/No). [I-PA03-1]</w:t>
      </w:r>
    </w:p>
    <w:p w:rsidR="00F254E2"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Información sobre la suficiencia y adecuación de infraestructuras, recursos materiales y prestación de servicios, desde la perspectiva del proceso de enseñanza-aprendizaje (Sí/No). [I-PA03-2]</w:t>
      </w:r>
    </w:p>
    <w:p w:rsidR="00F254E2"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Indicadores clave del SGC del Centro (véase anexo PA01).</w:t>
      </w:r>
    </w:p>
    <w:p w:rsidR="00F254E2" w:rsidRDefault="00F254E2">
      <w:pPr>
        <w:jc w:val="both"/>
        <w:rPr>
          <w:rFonts w:ascii="Calibri" w:eastAsia="Calibri" w:hAnsi="Calibri" w:cs="Calibri"/>
        </w:rPr>
      </w:pPr>
    </w:p>
    <w:p w:rsidR="00F254E2" w:rsidRDefault="00F254E2">
      <w:pPr>
        <w:jc w:val="both"/>
        <w:rPr>
          <w:rFonts w:ascii="Calibri" w:eastAsia="Calibri" w:hAnsi="Calibri" w:cs="Calibri"/>
          <w:b/>
        </w:rPr>
      </w:pPr>
    </w:p>
    <w:p w:rsidR="00F254E2" w:rsidRDefault="00000000">
      <w:pPr>
        <w:jc w:val="both"/>
        <w:rPr>
          <w:rFonts w:ascii="Calibri" w:eastAsia="Calibri" w:hAnsi="Calibri" w:cs="Calibri"/>
          <w:b/>
        </w:rPr>
      </w:pPr>
      <w:r>
        <w:rPr>
          <w:rFonts w:ascii="Calibri" w:eastAsia="Calibri" w:hAnsi="Calibri" w:cs="Calibri"/>
          <w:b/>
        </w:rPr>
        <w:t>6. REGISTROS/EVIDENCIAS</w:t>
      </w:r>
    </w:p>
    <w:p w:rsidR="00F254E2" w:rsidRDefault="00F254E2">
      <w:pPr>
        <w:pBdr>
          <w:top w:val="nil"/>
          <w:left w:val="nil"/>
          <w:bottom w:val="nil"/>
          <w:right w:val="nil"/>
          <w:between w:val="nil"/>
        </w:pBdr>
        <w:ind w:left="720"/>
        <w:jc w:val="both"/>
        <w:rPr>
          <w:rFonts w:ascii="Calibri" w:eastAsia="Calibri" w:hAnsi="Calibri" w:cs="Calibri"/>
          <w:color w:val="000000"/>
        </w:rPr>
      </w:pPr>
    </w:p>
    <w:p w:rsidR="00F254E2"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Documento de Planificación, Desarrollo y Seguimiento del SGC para el nuevo ciclo de gestión. [R-PE01-8]</w:t>
      </w:r>
    </w:p>
    <w:p w:rsidR="00F254E2"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Acceso al espacio web del SIGC-SUA. [R-PA03-1]</w:t>
      </w:r>
    </w:p>
    <w:p w:rsidR="00F254E2"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Acceso al espacio web compartido que contiene los datos e información correspondiente del Cuadro de Indicadores del SGC. [R-PA01-3]</w:t>
      </w:r>
    </w:p>
    <w:p w:rsidR="00F254E2"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Información sobre la suficiencia y adecuación de infraestructuras, recursos materiales y prestación de servicios. [R-PA03-2]</w:t>
      </w:r>
    </w:p>
    <w:p w:rsidR="00F254E2"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Actas de la CGC en relación con las actuaciones del PA03. [R-PA03-3]</w:t>
      </w:r>
    </w:p>
    <w:p w:rsidR="00F254E2" w:rsidRDefault="00000000">
      <w:pPr>
        <w:numPr>
          <w:ilvl w:val="0"/>
          <w:numId w:val="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Actas de la JF en relación con las actuaciones del PA03. [R-PA03-4]</w:t>
      </w:r>
    </w:p>
    <w:p w:rsidR="00F254E2" w:rsidRDefault="00F254E2">
      <w:pPr>
        <w:jc w:val="both"/>
        <w:rPr>
          <w:rFonts w:ascii="Calibri" w:eastAsia="Calibri" w:hAnsi="Calibri" w:cs="Calibri"/>
        </w:rPr>
      </w:pPr>
    </w:p>
    <w:p w:rsidR="00F254E2" w:rsidRDefault="00F254E2">
      <w:pPr>
        <w:jc w:val="both"/>
        <w:rPr>
          <w:rFonts w:ascii="Calibri" w:eastAsia="Calibri" w:hAnsi="Calibri" w:cs="Calibri"/>
        </w:rPr>
      </w:pPr>
    </w:p>
    <w:p w:rsidR="00F254E2" w:rsidRDefault="00F254E2">
      <w:pPr>
        <w:jc w:val="both"/>
        <w:rPr>
          <w:rFonts w:ascii="Calibri" w:eastAsia="Calibri" w:hAnsi="Calibri" w:cs="Calibri"/>
        </w:rPr>
      </w:pPr>
    </w:p>
    <w:sectPr w:rsidR="00F254E2">
      <w:headerReference w:type="default" r:id="rId13"/>
      <w:footerReference w:type="default" r:id="rId14"/>
      <w:pgSz w:w="11906" w:h="16838"/>
      <w:pgMar w:top="2268" w:right="1418" w:bottom="1134" w:left="1418" w:header="567"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1331" w:rsidRDefault="00CD1331">
      <w:r>
        <w:separator/>
      </w:r>
    </w:p>
  </w:endnote>
  <w:endnote w:type="continuationSeparator" w:id="0">
    <w:p w:rsidR="00CD1331" w:rsidRDefault="00CD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Light">
    <w:altName w:val="Times New Roman"/>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4E2" w:rsidRDefault="00000000">
    <w:pPr>
      <w:pBdr>
        <w:top w:val="nil"/>
        <w:left w:val="nil"/>
        <w:bottom w:val="nil"/>
        <w:right w:val="nil"/>
        <w:between w:val="nil"/>
      </w:pBdr>
      <w:tabs>
        <w:tab w:val="center" w:pos="4252"/>
        <w:tab w:val="right" w:pos="8504"/>
      </w:tabs>
      <w:jc w:val="center"/>
      <w:rPr>
        <w:rFonts w:ascii="Calibri" w:eastAsia="Calibri" w:hAnsi="Calibri" w:cs="Calibri"/>
        <w:color w:val="000000"/>
        <w:sz w:val="20"/>
        <w:szCs w:val="20"/>
      </w:rPr>
    </w:pPr>
    <w:r>
      <w:rPr>
        <w:rFonts w:ascii="Calibri" w:eastAsia="Calibri" w:hAnsi="Calibri" w:cs="Calibri"/>
        <w:color w:val="000000"/>
        <w:sz w:val="20"/>
        <w:szCs w:val="20"/>
      </w:rPr>
      <w:t xml:space="preserve">PA03                        </w:t>
    </w:r>
    <w:r>
      <w:rPr>
        <w:rFonts w:ascii="Calibri" w:eastAsia="Calibri" w:hAnsi="Calibri" w:cs="Calibri"/>
        <w:sz w:val="20"/>
        <w:szCs w:val="20"/>
      </w:rPr>
      <w:t xml:space="preserve">      </w:t>
    </w:r>
    <w:r w:rsidRPr="001D0E4F">
      <w:rPr>
        <w:rFonts w:ascii="Calibri" w:eastAsia="Calibri" w:hAnsi="Calibri" w:cs="Calibri"/>
        <w:color w:val="FF0000"/>
        <w:sz w:val="18"/>
        <w:szCs w:val="18"/>
      </w:rPr>
      <w:t>Revisión 0</w:t>
    </w:r>
    <w:r w:rsidR="001D0E4F" w:rsidRPr="001D0E4F">
      <w:rPr>
        <w:rFonts w:ascii="Calibri" w:eastAsia="Calibri" w:hAnsi="Calibri" w:cs="Calibri"/>
        <w:color w:val="FF0000"/>
        <w:sz w:val="18"/>
        <w:szCs w:val="18"/>
      </w:rPr>
      <w:t>3</w:t>
    </w:r>
    <w:r w:rsidRPr="001D0E4F">
      <w:rPr>
        <w:rFonts w:ascii="Calibri" w:eastAsia="Calibri" w:hAnsi="Calibri" w:cs="Calibri"/>
        <w:color w:val="FF0000"/>
        <w:sz w:val="18"/>
        <w:szCs w:val="18"/>
      </w:rPr>
      <w:t xml:space="preserve"> – </w:t>
    </w:r>
    <w:r w:rsidR="001D0E4F" w:rsidRPr="001D0E4F">
      <w:rPr>
        <w:rFonts w:ascii="Calibri" w:eastAsia="Calibri" w:hAnsi="Calibri" w:cs="Calibri"/>
        <w:color w:val="FF0000"/>
        <w:sz w:val="18"/>
        <w:szCs w:val="18"/>
      </w:rPr>
      <w:t>xxxxxxx</w:t>
    </w:r>
    <w:r w:rsidRPr="001D0E4F">
      <w:rPr>
        <w:rFonts w:ascii="Calibri" w:eastAsia="Calibri" w:hAnsi="Calibri" w:cs="Calibri"/>
        <w:color w:val="FF0000"/>
        <w:sz w:val="20"/>
        <w:szCs w:val="20"/>
      </w:rPr>
      <w:t xml:space="preserve">                  </w:t>
    </w:r>
    <w:r>
      <w:rPr>
        <w:rFonts w:ascii="Calibri" w:eastAsia="Calibri" w:hAnsi="Calibri" w:cs="Calibri"/>
        <w:color w:val="000000"/>
        <w:sz w:val="20"/>
        <w:szCs w:val="20"/>
      </w:rPr>
      <w:t xml:space="preserve">Página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207DF7">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r>
      <w:rPr>
        <w:rFonts w:ascii="Calibri" w:eastAsia="Calibri" w:hAnsi="Calibri" w:cs="Calibri"/>
        <w:color w:val="000000"/>
        <w:sz w:val="20"/>
        <w:szCs w:val="20"/>
      </w:rPr>
      <w:t xml:space="preserve"> de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NUMPAGES</w:instrText>
    </w:r>
    <w:r>
      <w:rPr>
        <w:rFonts w:ascii="Calibri" w:eastAsia="Calibri" w:hAnsi="Calibri" w:cs="Calibri"/>
        <w:color w:val="000000"/>
        <w:sz w:val="20"/>
        <w:szCs w:val="20"/>
      </w:rPr>
      <w:fldChar w:fldCharType="separate"/>
    </w:r>
    <w:r w:rsidR="00207DF7">
      <w:rPr>
        <w:rFonts w:ascii="Calibri" w:eastAsia="Calibri" w:hAnsi="Calibri" w:cs="Calibri"/>
        <w:noProof/>
        <w:color w:val="000000"/>
        <w:sz w:val="20"/>
        <w:szCs w:val="20"/>
      </w:rPr>
      <w:t>2</w:t>
    </w:r>
    <w:r>
      <w:rPr>
        <w:rFonts w:ascii="Calibri" w:eastAsia="Calibri" w:hAnsi="Calibri" w:cs="Calibr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1331" w:rsidRDefault="00CD1331">
      <w:r>
        <w:separator/>
      </w:r>
    </w:p>
  </w:footnote>
  <w:footnote w:type="continuationSeparator" w:id="0">
    <w:p w:rsidR="00CD1331" w:rsidRDefault="00CD1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4E2" w:rsidRDefault="00F254E2">
    <w:pPr>
      <w:widowControl w:val="0"/>
      <w:pBdr>
        <w:top w:val="nil"/>
        <w:left w:val="nil"/>
        <w:bottom w:val="nil"/>
        <w:right w:val="nil"/>
        <w:between w:val="nil"/>
      </w:pBdr>
      <w:spacing w:line="276" w:lineRule="auto"/>
      <w:rPr>
        <w:rFonts w:ascii="Calibri" w:eastAsia="Calibri" w:hAnsi="Calibri" w:cs="Calibri"/>
      </w:rPr>
    </w:pPr>
  </w:p>
  <w:tbl>
    <w:tblPr>
      <w:tblStyle w:val="a7"/>
      <w:tblW w:w="9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6"/>
      <w:gridCol w:w="4862"/>
      <w:gridCol w:w="2338"/>
    </w:tblGrid>
    <w:tr w:rsidR="00F254E2">
      <w:trPr>
        <w:trHeight w:val="702"/>
        <w:jc w:val="center"/>
      </w:trPr>
      <w:tc>
        <w:tcPr>
          <w:tcW w:w="2086" w:type="dxa"/>
          <w:vMerge w:val="restart"/>
        </w:tcPr>
        <w:p w:rsidR="00F254E2" w:rsidRDefault="00000000">
          <w:pPr>
            <w:spacing w:before="120"/>
            <w:jc w:val="center"/>
            <w:rPr>
              <w:rFonts w:ascii="Calibri" w:eastAsia="Calibri" w:hAnsi="Calibri" w:cs="Calibri"/>
              <w:b/>
            </w:rPr>
          </w:pPr>
          <w:r>
            <w:rPr>
              <w:rFonts w:ascii="Calibri" w:eastAsia="Calibri" w:hAnsi="Calibri" w:cs="Calibri"/>
              <w:b/>
              <w:noProof/>
            </w:rPr>
            <w:drawing>
              <wp:inline distT="0" distB="0" distL="0" distR="0">
                <wp:extent cx="1271629" cy="1016710"/>
                <wp:effectExtent l="0" t="0" r="0" b="0"/>
                <wp:docPr id="11" name="image1.jpg" descr="D:\DATOSD~1\UJA\DOCUME~1\MISDOC~1\MISDOC~1\ESCRIT~1\Desktop\VARIOS~1\MARCAU~1\17457~1.MAR\19AC0~1.MAR\01-VER~1\04-VER~1\01 - Positivo\Versio¦ün Principal Negro-01.jpg"/>
                <wp:cNvGraphicFramePr/>
                <a:graphic xmlns:a="http://schemas.openxmlformats.org/drawingml/2006/main">
                  <a:graphicData uri="http://schemas.openxmlformats.org/drawingml/2006/picture">
                    <pic:pic xmlns:pic="http://schemas.openxmlformats.org/drawingml/2006/picture">
                      <pic:nvPicPr>
                        <pic:cNvPr id="0" name="image1.jpg" descr="D:\DATOSD~1\UJA\DOCUME~1\MISDOC~1\MISDOC~1\ESCRIT~1\Desktop\VARIOS~1\MARCAU~1\17457~1.MAR\19AC0~1.MAR\01-VER~1\04-VER~1\01 - Positivo\Versio¦ün Principal Negro-01.jpg"/>
                        <pic:cNvPicPr preferRelativeResize="0"/>
                      </pic:nvPicPr>
                      <pic:blipFill>
                        <a:blip r:embed="rId1"/>
                        <a:srcRect/>
                        <a:stretch>
                          <a:fillRect/>
                        </a:stretch>
                      </pic:blipFill>
                      <pic:spPr>
                        <a:xfrm>
                          <a:off x="0" y="0"/>
                          <a:ext cx="1271629" cy="1016710"/>
                        </a:xfrm>
                        <a:prstGeom prst="rect">
                          <a:avLst/>
                        </a:prstGeom>
                        <a:ln/>
                      </pic:spPr>
                    </pic:pic>
                  </a:graphicData>
                </a:graphic>
              </wp:inline>
            </w:drawing>
          </w:r>
        </w:p>
      </w:tc>
      <w:tc>
        <w:tcPr>
          <w:tcW w:w="4862" w:type="dxa"/>
          <w:vAlign w:val="center"/>
        </w:tcPr>
        <w:p w:rsidR="00F254E2" w:rsidRDefault="00000000">
          <w:pPr>
            <w:keepNext/>
            <w:pBdr>
              <w:top w:val="nil"/>
              <w:left w:val="nil"/>
              <w:bottom w:val="nil"/>
              <w:right w:val="nil"/>
              <w:between w:val="nil"/>
            </w:pBdr>
            <w:spacing w:before="120"/>
            <w:jc w:val="center"/>
            <w:rPr>
              <w:rFonts w:ascii="Calibri" w:eastAsia="Calibri" w:hAnsi="Calibri" w:cs="Calibri"/>
              <w:b/>
              <w:color w:val="000000"/>
            </w:rPr>
          </w:pPr>
          <w:r>
            <w:rPr>
              <w:rFonts w:ascii="Calibri" w:eastAsia="Calibri" w:hAnsi="Calibri" w:cs="Calibri"/>
              <w:b/>
              <w:color w:val="000000"/>
            </w:rPr>
            <w:t>SISTEMA DE GARANTÍA DE CALIDAD DE LA FACULTAD DE CIENCIAS EXPERIMENTALES</w:t>
          </w:r>
        </w:p>
      </w:tc>
      <w:tc>
        <w:tcPr>
          <w:tcW w:w="2338" w:type="dxa"/>
          <w:vMerge w:val="restart"/>
          <w:vAlign w:val="center"/>
        </w:tcPr>
        <w:p w:rsidR="00F254E2" w:rsidRDefault="00F254E2">
          <w:pPr>
            <w:spacing w:before="40" w:after="40"/>
            <w:jc w:val="center"/>
            <w:rPr>
              <w:rFonts w:ascii="Calibri" w:eastAsia="Calibri" w:hAnsi="Calibri" w:cs="Calibri"/>
              <w:b/>
              <w:sz w:val="16"/>
              <w:szCs w:val="16"/>
            </w:rPr>
          </w:pPr>
        </w:p>
        <w:p w:rsidR="00F254E2" w:rsidRDefault="00000000">
          <w:pPr>
            <w:spacing w:before="40" w:after="40"/>
            <w:jc w:val="center"/>
            <w:rPr>
              <w:rFonts w:ascii="Calibri" w:eastAsia="Calibri" w:hAnsi="Calibri" w:cs="Calibri"/>
              <w:b/>
            </w:rPr>
          </w:pPr>
          <w:r>
            <w:rPr>
              <w:rFonts w:ascii="Calibri" w:eastAsia="Calibri" w:hAnsi="Calibri" w:cs="Calibri"/>
              <w:b/>
            </w:rPr>
            <w:t xml:space="preserve">Código: </w:t>
          </w:r>
        </w:p>
        <w:p w:rsidR="00F254E2" w:rsidRDefault="00000000">
          <w:pPr>
            <w:spacing w:before="40" w:after="40"/>
            <w:jc w:val="center"/>
            <w:rPr>
              <w:rFonts w:ascii="Calibri" w:eastAsia="Calibri" w:hAnsi="Calibri" w:cs="Calibri"/>
              <w:b/>
            </w:rPr>
          </w:pPr>
          <w:r>
            <w:rPr>
              <w:rFonts w:ascii="Calibri" w:eastAsia="Calibri" w:hAnsi="Calibri" w:cs="Calibri"/>
              <w:b/>
            </w:rPr>
            <w:t>PA03</w:t>
          </w:r>
        </w:p>
        <w:p w:rsidR="00F254E2" w:rsidRDefault="00F254E2">
          <w:pPr>
            <w:spacing w:before="40" w:after="40"/>
            <w:rPr>
              <w:rFonts w:ascii="Calibri" w:eastAsia="Calibri" w:hAnsi="Calibri" w:cs="Calibri"/>
              <w:b/>
              <w:sz w:val="16"/>
              <w:szCs w:val="16"/>
            </w:rPr>
          </w:pPr>
        </w:p>
      </w:tc>
    </w:tr>
    <w:tr w:rsidR="00F254E2">
      <w:trPr>
        <w:trHeight w:val="840"/>
        <w:jc w:val="center"/>
      </w:trPr>
      <w:tc>
        <w:tcPr>
          <w:tcW w:w="2086" w:type="dxa"/>
          <w:vMerge/>
        </w:tcPr>
        <w:p w:rsidR="00F254E2" w:rsidRDefault="00F254E2">
          <w:pPr>
            <w:widowControl w:val="0"/>
            <w:pBdr>
              <w:top w:val="nil"/>
              <w:left w:val="nil"/>
              <w:bottom w:val="nil"/>
              <w:right w:val="nil"/>
              <w:between w:val="nil"/>
            </w:pBdr>
            <w:spacing w:line="276" w:lineRule="auto"/>
            <w:rPr>
              <w:rFonts w:ascii="Calibri" w:eastAsia="Calibri" w:hAnsi="Calibri" w:cs="Calibri"/>
              <w:b/>
              <w:sz w:val="16"/>
              <w:szCs w:val="16"/>
            </w:rPr>
          </w:pPr>
        </w:p>
      </w:tc>
      <w:tc>
        <w:tcPr>
          <w:tcW w:w="4862" w:type="dxa"/>
          <w:vAlign w:val="center"/>
        </w:tcPr>
        <w:p w:rsidR="00F254E2" w:rsidRDefault="00000000">
          <w:pPr>
            <w:keepNext/>
            <w:pBdr>
              <w:top w:val="nil"/>
              <w:left w:val="nil"/>
              <w:bottom w:val="nil"/>
              <w:right w:val="nil"/>
              <w:between w:val="nil"/>
            </w:pBdr>
            <w:spacing w:before="120"/>
            <w:jc w:val="center"/>
            <w:rPr>
              <w:rFonts w:ascii="Calibri" w:eastAsia="Calibri" w:hAnsi="Calibri" w:cs="Calibri"/>
              <w:b/>
              <w:color w:val="000000"/>
            </w:rPr>
          </w:pPr>
          <w:r>
            <w:rPr>
              <w:rFonts w:ascii="Calibri" w:eastAsia="Calibri" w:hAnsi="Calibri" w:cs="Calibri"/>
              <w:b/>
              <w:color w:val="000000"/>
            </w:rPr>
            <w:t>PROCEDIMIENTO PARA LA</w:t>
          </w:r>
        </w:p>
        <w:p w:rsidR="00F254E2" w:rsidRDefault="00000000">
          <w:pPr>
            <w:jc w:val="center"/>
            <w:rPr>
              <w:rFonts w:ascii="Calibri" w:eastAsia="Calibri" w:hAnsi="Calibri" w:cs="Calibri"/>
              <w:b/>
            </w:rPr>
          </w:pPr>
          <w:r>
            <w:rPr>
              <w:rFonts w:ascii="Calibri" w:eastAsia="Calibri" w:hAnsi="Calibri" w:cs="Calibri"/>
              <w:b/>
            </w:rPr>
            <w:t>GESTIÓN DE RECURSOS PARA EL APRENDIZAJE Y APOYO AL ESTUDIANTADO</w:t>
          </w:r>
        </w:p>
      </w:tc>
      <w:tc>
        <w:tcPr>
          <w:tcW w:w="2338" w:type="dxa"/>
          <w:vMerge/>
          <w:vAlign w:val="center"/>
        </w:tcPr>
        <w:p w:rsidR="00F254E2" w:rsidRDefault="00F254E2">
          <w:pPr>
            <w:widowControl w:val="0"/>
            <w:pBdr>
              <w:top w:val="nil"/>
              <w:left w:val="nil"/>
              <w:bottom w:val="nil"/>
              <w:right w:val="nil"/>
              <w:between w:val="nil"/>
            </w:pBdr>
            <w:spacing w:line="276" w:lineRule="auto"/>
            <w:rPr>
              <w:rFonts w:ascii="Calibri" w:eastAsia="Calibri" w:hAnsi="Calibri" w:cs="Calibri"/>
              <w:b/>
            </w:rPr>
          </w:pPr>
        </w:p>
      </w:tc>
    </w:tr>
  </w:tbl>
  <w:p w:rsidR="00F254E2" w:rsidRDefault="00F254E2">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13C9E"/>
    <w:multiLevelType w:val="multilevel"/>
    <w:tmpl w:val="8AC66C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0C4150"/>
    <w:multiLevelType w:val="multilevel"/>
    <w:tmpl w:val="BB1C8F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C75D15"/>
    <w:multiLevelType w:val="multilevel"/>
    <w:tmpl w:val="842C0D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2FB29D7"/>
    <w:multiLevelType w:val="multilevel"/>
    <w:tmpl w:val="D1EAB8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1F4C89"/>
    <w:multiLevelType w:val="multilevel"/>
    <w:tmpl w:val="C7187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89E611D"/>
    <w:multiLevelType w:val="multilevel"/>
    <w:tmpl w:val="ADB697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1C3323F"/>
    <w:multiLevelType w:val="multilevel"/>
    <w:tmpl w:val="8E4C9E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7DA32A4"/>
    <w:multiLevelType w:val="multilevel"/>
    <w:tmpl w:val="D88E4D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8CD266D"/>
    <w:multiLevelType w:val="multilevel"/>
    <w:tmpl w:val="A178F3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27995635">
    <w:abstractNumId w:val="8"/>
  </w:num>
  <w:num w:numId="2" w16cid:durableId="1784612681">
    <w:abstractNumId w:val="3"/>
  </w:num>
  <w:num w:numId="3" w16cid:durableId="531454040">
    <w:abstractNumId w:val="4"/>
  </w:num>
  <w:num w:numId="4" w16cid:durableId="1234969338">
    <w:abstractNumId w:val="1"/>
  </w:num>
  <w:num w:numId="5" w16cid:durableId="1595279529">
    <w:abstractNumId w:val="7"/>
  </w:num>
  <w:num w:numId="6" w16cid:durableId="1670906825">
    <w:abstractNumId w:val="5"/>
  </w:num>
  <w:num w:numId="7" w16cid:durableId="362905409">
    <w:abstractNumId w:val="0"/>
  </w:num>
  <w:num w:numId="8" w16cid:durableId="919370875">
    <w:abstractNumId w:val="2"/>
  </w:num>
  <w:num w:numId="9" w16cid:durableId="15059013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4E2"/>
    <w:rsid w:val="001D0E4F"/>
    <w:rsid w:val="00207DF7"/>
    <w:rsid w:val="00CD1331"/>
    <w:rsid w:val="00F254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457DF5DA"/>
  <w15:docId w15:val="{B515078D-DB60-2948-8956-87B800CE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1F5"/>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8F41F5"/>
    <w:pPr>
      <w:keepNext/>
      <w:framePr w:hSpace="141" w:wrap="around" w:vAnchor="text" w:hAnchor="page" w:x="2492" w:y="256"/>
      <w:jc w:val="both"/>
      <w:outlineLvl w:val="1"/>
    </w:pPr>
    <w:rPr>
      <w:b/>
      <w:bCs/>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rsid w:val="008F41F5"/>
    <w:pPr>
      <w:tabs>
        <w:tab w:val="center" w:pos="4252"/>
        <w:tab w:val="right" w:pos="8504"/>
      </w:tabs>
    </w:pPr>
  </w:style>
  <w:style w:type="paragraph" w:styleId="Piedepgina">
    <w:name w:val="footer"/>
    <w:basedOn w:val="Normal"/>
    <w:rsid w:val="008F41F5"/>
    <w:pPr>
      <w:tabs>
        <w:tab w:val="center" w:pos="4252"/>
        <w:tab w:val="right" w:pos="8504"/>
      </w:tabs>
    </w:pPr>
  </w:style>
  <w:style w:type="paragraph" w:styleId="Textoindependiente">
    <w:name w:val="Body Text"/>
    <w:basedOn w:val="Normal"/>
    <w:rsid w:val="008F41F5"/>
    <w:pPr>
      <w:tabs>
        <w:tab w:val="left" w:pos="-720"/>
        <w:tab w:val="left" w:pos="0"/>
      </w:tabs>
      <w:suppressAutoHyphens/>
      <w:jc w:val="both"/>
    </w:pPr>
    <w:rPr>
      <w:rFonts w:ascii="Frutiger-Light" w:hAnsi="Frutiger-Light"/>
      <w:spacing w:val="-3"/>
      <w:szCs w:val="20"/>
    </w:rPr>
  </w:style>
  <w:style w:type="paragraph" w:styleId="Textoindependiente2">
    <w:name w:val="Body Text 2"/>
    <w:basedOn w:val="Normal"/>
    <w:link w:val="Textoindependiente2Car"/>
    <w:rsid w:val="008F41F5"/>
    <w:pPr>
      <w:jc w:val="center"/>
    </w:pPr>
    <w:rPr>
      <w:sz w:val="22"/>
    </w:rPr>
  </w:style>
  <w:style w:type="paragraph" w:styleId="Sangradetextonormal">
    <w:name w:val="Body Text Indent"/>
    <w:basedOn w:val="Normal"/>
    <w:rsid w:val="008F41F5"/>
    <w:pPr>
      <w:spacing w:line="360" w:lineRule="auto"/>
      <w:ind w:firstLine="360"/>
      <w:jc w:val="both"/>
    </w:pPr>
  </w:style>
  <w:style w:type="character" w:styleId="Nmerodepgina">
    <w:name w:val="page number"/>
    <w:basedOn w:val="Fuentedeprrafopredeter"/>
    <w:rsid w:val="008F41F5"/>
  </w:style>
  <w:style w:type="paragraph" w:styleId="Sangra2detindependiente">
    <w:name w:val="Body Text Indent 2"/>
    <w:basedOn w:val="Normal"/>
    <w:rsid w:val="008F41F5"/>
    <w:pPr>
      <w:spacing w:line="360" w:lineRule="auto"/>
      <w:ind w:firstLine="1416"/>
      <w:jc w:val="both"/>
    </w:pPr>
    <w:rPr>
      <w:lang w:val="gl-ES"/>
    </w:rPr>
  </w:style>
  <w:style w:type="paragraph" w:styleId="TDC2">
    <w:name w:val="toc 2"/>
    <w:basedOn w:val="Normal"/>
    <w:next w:val="Normal"/>
    <w:autoRedefine/>
    <w:semiHidden/>
    <w:rsid w:val="008F41F5"/>
    <w:pPr>
      <w:tabs>
        <w:tab w:val="left" w:pos="-720"/>
        <w:tab w:val="left" w:pos="0"/>
        <w:tab w:val="left" w:pos="720"/>
      </w:tabs>
      <w:suppressAutoHyphens/>
      <w:jc w:val="both"/>
    </w:pPr>
    <w:rPr>
      <w:rFonts w:eastAsia="Batang"/>
      <w:bCs/>
      <w:spacing w:val="-3"/>
      <w:u w:val="single"/>
    </w:rPr>
  </w:style>
  <w:style w:type="paragraph" w:customStyle="1" w:styleId="Subapartado">
    <w:name w:val="Subapartado"/>
    <w:basedOn w:val="Normal"/>
    <w:next w:val="Metodologa"/>
    <w:rsid w:val="00270796"/>
    <w:pPr>
      <w:spacing w:line="360" w:lineRule="auto"/>
      <w:jc w:val="both"/>
    </w:pPr>
    <w:rPr>
      <w:smallCaps/>
      <w:szCs w:val="20"/>
    </w:rPr>
  </w:style>
  <w:style w:type="paragraph" w:customStyle="1" w:styleId="Metodologa">
    <w:name w:val="Metodología"/>
    <w:basedOn w:val="Normal"/>
    <w:rsid w:val="00270796"/>
    <w:pPr>
      <w:spacing w:line="360" w:lineRule="auto"/>
      <w:jc w:val="both"/>
    </w:pPr>
    <w:rPr>
      <w:szCs w:val="20"/>
    </w:rPr>
  </w:style>
  <w:style w:type="character" w:styleId="Hipervnculo">
    <w:name w:val="Hyperlink"/>
    <w:rsid w:val="009C693B"/>
    <w:rPr>
      <w:color w:val="0000FF"/>
      <w:u w:val="single"/>
    </w:rPr>
  </w:style>
  <w:style w:type="character" w:styleId="Hipervnculovisitado">
    <w:name w:val="FollowedHyperlink"/>
    <w:rsid w:val="00CE74C8"/>
    <w:rPr>
      <w:color w:val="800080"/>
      <w:u w:val="single"/>
    </w:rPr>
  </w:style>
  <w:style w:type="character" w:styleId="Refdecomentario">
    <w:name w:val="annotation reference"/>
    <w:rsid w:val="0040180F"/>
    <w:rPr>
      <w:sz w:val="16"/>
      <w:szCs w:val="16"/>
    </w:rPr>
  </w:style>
  <w:style w:type="paragraph" w:styleId="Textocomentario">
    <w:name w:val="annotation text"/>
    <w:basedOn w:val="Normal"/>
    <w:link w:val="TextocomentarioCar"/>
    <w:rsid w:val="0040180F"/>
    <w:rPr>
      <w:sz w:val="20"/>
      <w:szCs w:val="20"/>
    </w:rPr>
  </w:style>
  <w:style w:type="character" w:customStyle="1" w:styleId="TextocomentarioCar">
    <w:name w:val="Texto comentario Car"/>
    <w:link w:val="Textocomentario"/>
    <w:rsid w:val="0040180F"/>
    <w:rPr>
      <w:rFonts w:ascii="Arial" w:hAnsi="Arial"/>
    </w:rPr>
  </w:style>
  <w:style w:type="paragraph" w:styleId="Asuntodelcomentario">
    <w:name w:val="annotation subject"/>
    <w:basedOn w:val="Textocomentario"/>
    <w:next w:val="Textocomentario"/>
    <w:link w:val="AsuntodelcomentarioCar"/>
    <w:rsid w:val="0040180F"/>
    <w:rPr>
      <w:b/>
      <w:bCs/>
    </w:rPr>
  </w:style>
  <w:style w:type="character" w:customStyle="1" w:styleId="AsuntodelcomentarioCar">
    <w:name w:val="Asunto del comentario Car"/>
    <w:link w:val="Asuntodelcomentario"/>
    <w:rsid w:val="0040180F"/>
    <w:rPr>
      <w:rFonts w:ascii="Arial" w:hAnsi="Arial"/>
      <w:b/>
      <w:bCs/>
    </w:rPr>
  </w:style>
  <w:style w:type="paragraph" w:styleId="Revisin">
    <w:name w:val="Revision"/>
    <w:hidden/>
    <w:uiPriority w:val="99"/>
    <w:semiHidden/>
    <w:rsid w:val="0040180F"/>
  </w:style>
  <w:style w:type="paragraph" w:styleId="Textodeglobo">
    <w:name w:val="Balloon Text"/>
    <w:basedOn w:val="Normal"/>
    <w:link w:val="TextodegloboCar"/>
    <w:rsid w:val="0040180F"/>
    <w:rPr>
      <w:rFonts w:ascii="Tahoma" w:hAnsi="Tahoma" w:cs="Tahoma"/>
      <w:sz w:val="16"/>
      <w:szCs w:val="16"/>
    </w:rPr>
  </w:style>
  <w:style w:type="character" w:customStyle="1" w:styleId="TextodegloboCar">
    <w:name w:val="Texto de globo Car"/>
    <w:link w:val="Textodeglobo"/>
    <w:rsid w:val="0040180F"/>
    <w:rPr>
      <w:rFonts w:ascii="Tahoma" w:hAnsi="Tahoma" w:cs="Tahoma"/>
      <w:sz w:val="16"/>
      <w:szCs w:val="16"/>
    </w:rPr>
  </w:style>
  <w:style w:type="character" w:customStyle="1" w:styleId="Ttulo2Car">
    <w:name w:val="Título 2 Car"/>
    <w:link w:val="Ttulo2"/>
    <w:rsid w:val="008B490B"/>
    <w:rPr>
      <w:rFonts w:ascii="Arial" w:hAnsi="Arial"/>
      <w:b/>
      <w:bCs/>
      <w:sz w:val="24"/>
      <w:szCs w:val="24"/>
      <w:lang w:val="es-ES" w:eastAsia="es-ES"/>
    </w:rPr>
  </w:style>
  <w:style w:type="character" w:customStyle="1" w:styleId="Textoindependiente2Car">
    <w:name w:val="Texto independiente 2 Car"/>
    <w:link w:val="Textoindependiente2"/>
    <w:rsid w:val="008B490B"/>
    <w:rPr>
      <w:rFonts w:ascii="Arial" w:hAnsi="Arial"/>
      <w:sz w:val="22"/>
      <w:szCs w:val="24"/>
      <w:lang w:val="es-ES" w:eastAsia="es-ES"/>
    </w:rPr>
  </w:style>
  <w:style w:type="character" w:styleId="Textoennegrita">
    <w:name w:val="Strong"/>
    <w:qFormat/>
    <w:rsid w:val="003C0598"/>
    <w:rPr>
      <w:b/>
      <w:bCs/>
    </w:rPr>
  </w:style>
  <w:style w:type="paragraph" w:styleId="Prrafodelista">
    <w:name w:val="List Paragraph"/>
    <w:basedOn w:val="Normal"/>
    <w:uiPriority w:val="34"/>
    <w:qFormat/>
    <w:rsid w:val="007059D6"/>
    <w:pPr>
      <w:ind w:left="720"/>
      <w:contextualSpacing/>
    </w:pPr>
  </w:style>
  <w:style w:type="character" w:customStyle="1" w:styleId="EncabezadoCar">
    <w:name w:val="Encabezado Car"/>
    <w:basedOn w:val="Fuentedeprrafopredeter"/>
    <w:link w:val="Encabezado"/>
    <w:rsid w:val="000E2A23"/>
    <w:rPr>
      <w:rFonts w:ascii="Arial" w:hAnsi="Arial"/>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character" w:styleId="Mencinsinresolver">
    <w:name w:val="Unresolved Mention"/>
    <w:basedOn w:val="Fuentedeprrafopredeter"/>
    <w:uiPriority w:val="99"/>
    <w:semiHidden/>
    <w:unhideWhenUsed/>
    <w:rsid w:val="001D0E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jaen.es/serv/spe/sigcsu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jaen.es/servicios/spe/indicadores-clave-sgc-centro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aen.es/serv/spe/sigcs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jaen.es/serv/spe/sigcsua/" TargetMode="External"/><Relationship Id="rId4" Type="http://schemas.openxmlformats.org/officeDocument/2006/relationships/settings" Target="settings.xml"/><Relationship Id="rId9" Type="http://schemas.openxmlformats.org/officeDocument/2006/relationships/hyperlink" Target="https://drive.google.com/drive/folders/1dBmA2NCqLs8iISY4zjGxB7K1LFlUVbX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u6/ck6IB3p406lOygXu2Lxlurg==">CgMxLjAyCWguMzBqMHpsbDIIaC5namRneHM4AHIhMW82eXJfenNvQW5CUFVCVEM5bUZnZ0NlbXV2WGRCd0lH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1885</Words>
  <Characters>10368</Characters>
  <Application>Microsoft Office Word</Application>
  <DocSecurity>0</DocSecurity>
  <Lines>86</Lines>
  <Paragraphs>24</Paragraphs>
  <ScaleCrop>false</ScaleCrop>
  <Company/>
  <LinksUpToDate>false</LinksUpToDate>
  <CharactersWithSpaces>12229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de Informática</dc:creator>
  <cp:lastModifiedBy>Microsoft Office User</cp:lastModifiedBy>
  <cp:revision>3</cp:revision>
  <dcterms:created xsi:type="dcterms:W3CDTF">2025-02-10T10:17:00Z</dcterms:created>
  <dcterms:modified xsi:type="dcterms:W3CDTF">2025-02-10T10:19:00Z</dcterms:modified>
</cp:coreProperties>
</file>